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440232-2022-01171</w:t>
      </w:r>
    </w:p>
    <w:p>
      <w:pPr>
        <w:jc w:val="center"/>
      </w:pPr>
      <w:r>
        <w:rPr>
          <w:b/>
          <w:sz w:val="24"/>
        </w:rPr>
        <w:t>采购项目编号：</w:t>
      </w:r>
      <w:r>
        <w:rPr>
          <w:b/>
          <w:sz w:val="24"/>
        </w:rPr>
        <w:t>SGYC2022166GZ</w:t>
      </w:r>
    </w:p>
    <w:p>
      <w:pPr>
        <w:jc w:val="center"/>
      </w:pPr>
      <w:r>
        <w:rPr>
          <w:b/>
          <w:sz w:val="24"/>
        </w:rPr>
        <w:t>项目名称：</w:t>
      </w:r>
      <w:r>
        <w:rPr>
          <w:b/>
          <w:sz w:val="24"/>
        </w:rPr>
        <w:t>乳源瑶族自治县中等职业技术学校“扩容、提质、强服务”项目智慧校园管理系统及智慧黑板采购</w:t>
      </w:r>
    </w:p>
    <w:p>
      <w:pPr>
        <w:jc w:val="center"/>
      </w:pPr>
      <w:r>
        <w:rPr>
          <w:b/>
          <w:sz w:val="24"/>
        </w:rPr>
        <w:t>采购人：</w:t>
      </w:r>
      <w:r>
        <w:rPr>
          <w:b/>
          <w:sz w:val="24"/>
        </w:rPr>
        <w:t>乳源瑶族自治县中等职业技术学校</w:t>
      </w:r>
    </w:p>
    <w:p>
      <w:pPr>
        <w:jc w:val="center"/>
      </w:pPr>
      <w:r>
        <w:rPr>
          <w:b/>
          <w:sz w:val="24"/>
        </w:rPr>
        <w:t>采购代理机构：</w:t>
      </w:r>
      <w:r>
        <w:rPr>
          <w:b/>
          <w:sz w:val="24"/>
        </w:rPr>
        <w:t>韶关市优采招标代理有限公司</w:t>
      </w:r>
    </w:p>
    <w:p>
      <w:pPr>
        <w:ind w:firstLine="480"/>
      </w:pPr>
    </w:p>
    <w:p>
      <w:r>
        <w:rPr/>
        <w:t xml:space="preserve"> </w:t>
      </w:r>
    </w:p>
    <w:p/>
    <w:p>
      <w:pPr>
        <w:jc w:val="center"/>
      </w:pPr>
      <w:r>
        <w:rPr>
          <w:b/>
          <w:sz w:val="36"/>
        </w:rPr>
        <w:t>第一章投标邀请</w:t>
      </w:r>
    </w:p>
    <w:p>
      <w:pPr>
        <w:ind w:firstLine="480"/>
      </w:pPr>
      <w:r>
        <w:rPr/>
        <w:t>韶关市优采招标代理有限公司</w:t>
      </w:r>
      <w:r>
        <w:rPr/>
        <w:t>受</w:t>
      </w:r>
      <w:r>
        <w:rPr/>
        <w:t>乳源瑶族自治县中等职业技术学校</w:t>
      </w:r>
      <w:r>
        <w:rPr/>
        <w:t>的委托，采用</w:t>
      </w:r>
      <w:r>
        <w:rPr/>
        <w:t>公开招标</w:t>
      </w:r>
      <w:r>
        <w:rPr/>
        <w:t>方式组织采购</w:t>
      </w:r>
      <w:r>
        <w:rPr/>
        <w:t>乳源瑶族自治县中等职业技术学校“扩容、提质、强服务”项目智慧校园管理系统及智慧黑板采购</w:t>
      </w:r>
      <w:r>
        <w:rPr/>
        <w:t>。欢迎符合资格条件的国内供应商参加投标。</w:t>
      </w:r>
    </w:p>
    <w:p>
      <w:r>
        <w:rPr>
          <w:b/>
          <w:sz w:val="28"/>
        </w:rPr>
        <w:t>一.项目概述</w:t>
      </w:r>
    </w:p>
    <w:p>
      <w:r>
        <w:rPr>
          <w:b/>
          <w:sz w:val="24"/>
        </w:rPr>
        <w:t>1.名称与编号</w:t>
      </w:r>
    </w:p>
    <w:p>
      <w:pPr>
        <w:ind w:firstLine="480"/>
      </w:pPr>
      <w:r>
        <w:rPr/>
        <w:t>项目名称：</w:t>
      </w:r>
      <w:r>
        <w:rPr/>
        <w:t>乳源瑶族自治县中等职业技术学校“扩容、提质、强服务”项目智慧校园管理系统及智慧黑板采购</w:t>
      </w:r>
    </w:p>
    <w:p>
      <w:pPr>
        <w:ind w:firstLine="480"/>
      </w:pPr>
      <w:r>
        <w:rPr/>
        <w:t>采购计划编号：</w:t>
      </w:r>
      <w:r>
        <w:rPr/>
        <w:t>440232-2022-01171</w:t>
      </w:r>
    </w:p>
    <w:p>
      <w:pPr>
        <w:ind w:firstLine="480"/>
      </w:pPr>
      <w:r>
        <w:rPr/>
        <w:t>采购项目编号：</w:t>
      </w:r>
      <w:r>
        <w:rPr/>
        <w:t>SGYC2022166GZ</w:t>
      </w:r>
    </w:p>
    <w:p>
      <w:pPr>
        <w:ind w:firstLine="480"/>
      </w:pPr>
      <w:r>
        <w:rPr/>
        <w:t>采购方式：</w:t>
      </w:r>
      <w:r>
        <w:rPr/>
        <w:t>公开招标</w:t>
      </w:r>
    </w:p>
    <w:p>
      <w:pPr>
        <w:ind w:firstLine="480"/>
      </w:pPr>
      <w:r>
        <w:rPr/>
        <w:t>预算金额：</w:t>
      </w:r>
      <w:r>
        <w:rPr/>
        <w:t>2,060,000.00</w:t>
      </w:r>
      <w:r>
        <w:rPr/>
        <w:t>元</w:t>
      </w:r>
    </w:p>
    <w:p>
      <w:r>
        <w:rPr>
          <w:b/>
          <w:sz w:val="24"/>
        </w:rPr>
        <w:t>2.项目内容及需求情况（采购项目技术规格、参数及要求）</w:t>
      </w:r>
    </w:p>
    <w:p>
      <w:pPr>
        <w:ind w:firstLine="480"/>
      </w:pPr>
    </w:p>
    <w:p/>
    <w:p>
      <w:r>
        <w:rPr/>
        <w:t>采购包1(乳源瑶族自治县中等职业技术学校“扩容、提质、强服务”项目智慧校园管理系统及智慧黑板采购):</w:t>
      </w:r>
    </w:p>
    <w:p>
      <w:r>
        <w:rPr/>
        <w:t>采购包预算金额：2,060,000.00元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教学专用仪器</w:t>
            </w:r>
          </w:p>
        </w:tc>
        <w:tc>
          <w:tcPr>
            <w:tcW w:type="dxa" w:w="2136"/>
          </w:tcPr>
          <w:p>
            <w:r>
              <w:rPr/>
              <w:t>乳源瑶族自治县中等职业技术学校“扩容、提质、强服务”项目智慧校园管理系统及智慧黑板采购</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合同履行期限：合同所约定的全部义务履行完毕之日止。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投标人必须是具有独立承担民事责任能力的在中华人民共和国境内注册的法人或其他组织或自然人，投标时提交有效的营业执照（或事业法人登记证或身份证等相关证明）副本复印件。</w:t>
      </w:r>
    </w:p>
    <w:p/>
    <w:p>
      <w:r>
        <w:rPr/>
        <w:t>2）有依法缴纳税收和社会保障资金的良好记录：有依法缴纳税收和社会保障资金的良好记录（提供投标截止日前12个月内任意一个月依法缴纳税收&lt;营业税或增值税等完税证明&gt;和社会保障资金&lt;社保缴费证明&gt;的相关材料。如依法免税或不需要缴纳社会保障资金的，提供相应证明材料）。</w:t>
      </w:r>
    </w:p>
    <w:p/>
    <w:p>
      <w:r>
        <w:rPr/>
        <w:t>3）具有良好的商业信誉和健全的财务会计制度：投标人必须具有良好的商业信誉和健全的财务会计制度（提供投标截止日前12个月内任意一个月的财务报表&lt;资产负债表和利润表或损益表&gt;或银行出具的资信证明）。</w:t>
      </w:r>
    </w:p>
    <w:p/>
    <w:p>
      <w:r>
        <w:rPr/>
        <w:t>4）履行合同所必需的设备和专业技术能力：具备履行合同所必需的设备和专业技术能力。按投标（响应）文件格式填报设备及专业技术能力情况。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采购包1（乳源瑶族自治县中等职业技术学校“扩容、提质、强服务”项目智慧校园管理系统及智慧黑板采购）：</w:t>
      </w:r>
      <w:r>
        <w:rPr/>
        <w:t>《政府采购促进中小企业发展管理办法》 《财政部 司法部关于政府采购支持监狱企业发展有关问题的通知》 《三部门联合发布关于促进残疾人就业政府采购政策的通知》 《政府采购进口产品管理办法》 《财政部 发展改革委 生态环境部 市场监管总局关于调整优化节能产品环境标志产品政府采购执行机制的通知》 《关于印发环境标志产品政府采购品目清单的通知》 《关于印发节能产品政府采购品目清单的通知》</w:t>
      </w:r>
    </w:p>
    <w:p/>
    <w:p>
      <w:r>
        <w:rPr>
          <w:b/>
          <w:sz w:val="24"/>
        </w:rPr>
        <w:t>3.本项目特定的资格要求：</w:t>
      </w:r>
    </w:p>
    <w:p>
      <w:pPr>
        <w:ind w:firstLine="480"/>
      </w:pPr>
    </w:p>
    <w:p/>
    <w:p>
      <w:r>
        <w:rPr/>
        <w:t>采购包1（乳源瑶族自治县中等职业技术学校“扩容、提质、强服务”项目智慧校园管理系统及智慧黑板采购）：</w:t>
      </w:r>
    </w:p>
    <w:p/>
    <w:p>
      <w:r>
        <w:rPr/>
        <w:t>1)投标人必须符合法律、行政法规规定的其他条件（可参照投标函相关承诺格式内容）。</w:t>
      </w:r>
    </w:p>
    <w:p/>
    <w:p>
      <w:r>
        <w:rPr/>
        <w:t>2)单位负责人为同一人或者存在直接控股、管理关系的不同投标人，不得同时参加本采购项目（包组）投标。（提供承诺函，可参照投标函相关承诺格式内容）。</w:t>
      </w:r>
    </w:p>
    <w:p/>
    <w:p>
      <w:r>
        <w:rPr/>
        <w:t>3)为采购项目提供整体设计、规范编制或者项目管理、监理、检测等服务的投标人，不得再参加该采购项目的其他采购活动（提供承诺函，可参照投标函相关承诺格式内容）。</w:t>
      </w:r>
    </w:p>
    <w:p/>
    <w:p>
      <w:r>
        <w:rPr/>
        <w:t>4)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5)已登记报名并获取本项目招标文件。</w:t>
      </w:r>
    </w:p>
    <w:p/>
    <w:p>
      <w:r>
        <w:rPr/>
        <w:t>6)本项目不接受联合体投标。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乳源瑶族自治县中等职业技术学校</w:t>
      </w:r>
    </w:p>
    <w:p>
      <w:pPr>
        <w:ind w:firstLine="480"/>
      </w:pPr>
      <w:r>
        <w:rPr/>
        <w:t>地址：</w:t>
      </w:r>
      <w:r>
        <w:rPr/>
        <w:t>广东省韶关市乳源瑶族自治县乳城镇河南路上岗坪</w:t>
      </w:r>
    </w:p>
    <w:p>
      <w:pPr>
        <w:ind w:firstLine="480"/>
      </w:pPr>
      <w:r>
        <w:rPr/>
        <w:t>联系方式：</w:t>
      </w:r>
      <w:r>
        <w:rPr/>
        <w:t>0751-5382541</w:t>
      </w:r>
    </w:p>
    <w:p>
      <w:r>
        <w:rPr>
          <w:b/>
          <w:sz w:val="24"/>
        </w:rPr>
        <w:t>2.采购代理机构信息</w:t>
      </w:r>
    </w:p>
    <w:p>
      <w:pPr>
        <w:ind w:firstLine="480"/>
      </w:pPr>
      <w:r>
        <w:rPr/>
        <w:t>名称：</w:t>
      </w:r>
      <w:r>
        <w:rPr/>
        <w:t>韶关市优采招标代理有限公司</w:t>
      </w:r>
    </w:p>
    <w:p>
      <w:pPr>
        <w:ind w:firstLine="480"/>
      </w:pPr>
      <w:r>
        <w:rPr/>
        <w:t>地址：</w:t>
      </w:r>
      <w:r>
        <w:rPr/>
        <w:t>广东省韶关市浈江区金汇大道88号鑫金汇建材家居广场条铺22栋316号</w:t>
      </w:r>
    </w:p>
    <w:p>
      <w:pPr>
        <w:ind w:firstLine="480"/>
      </w:pPr>
      <w:r>
        <w:rPr/>
        <w:t>联系方式：</w:t>
      </w:r>
      <w:r>
        <w:rPr/>
        <w:t>0751-8881466</w:t>
      </w:r>
    </w:p>
    <w:p>
      <w:r>
        <w:rPr>
          <w:b/>
          <w:sz w:val="24"/>
        </w:rPr>
        <w:t>3.项目联系方式</w:t>
      </w:r>
    </w:p>
    <w:p>
      <w:pPr>
        <w:ind w:firstLine="480"/>
      </w:pPr>
      <w:r>
        <w:rPr/>
        <w:t>项目联系人：</w:t>
      </w:r>
      <w:r>
        <w:rPr/>
        <w:t>徐小姐</w:t>
      </w:r>
    </w:p>
    <w:p>
      <w:pPr>
        <w:ind w:firstLine="480"/>
      </w:pPr>
      <w:r>
        <w:rPr/>
        <w:t>电话：</w:t>
      </w:r>
      <w:r>
        <w:rPr/>
        <w:t>0751-8881466</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韶关市优采招标代理有限公司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 xml:space="preserve"> </w:t>
      </w:r>
      <w:r>
        <w:rPr>
          <w:b/>
          <w:sz w:val="24"/>
        </w:rPr>
        <w:t>采购项目清单汇总表：</w:t>
      </w:r>
      <w:r>
        <w:rPr/>
        <w:t>采购预算(元)：2,060,000.00</w:t>
      </w:r>
    </w:p>
    <w:tbl>
      <w:tblPr>
        <w:tblW w:w="0" w:type="auto"/>
        <w:tblBorders>
          <w:top w:val="none" w:color="000000" w:sz="4"/>
          <w:left w:val="none" w:color="000000" w:sz="4"/>
          <w:bottom w:val="none" w:color="000000" w:sz="4"/>
          <w:right w:val="none" w:color="000000" w:sz="4"/>
          <w:insideH w:val="none"/>
          <w:insideV w:val="none"/>
        </w:tblBorders>
      </w:tblPr>
      <w:tblGrid>
        <w:gridCol w:w="625"/>
        <w:gridCol w:w="1107"/>
        <w:gridCol w:w="1263"/>
        <w:gridCol w:w="1354"/>
        <w:gridCol w:w="2656"/>
        <w:gridCol w:w="664"/>
        <w:gridCol w:w="638"/>
      </w:tblGrid>
      <w:tr>
        <w:tc>
          <w:tcPr>
            <w:tcW w:type="dxa" w:w="625"/>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1107"/>
            <w:tcBorders>
              <w:top w:val="single" w:color="000000" w:sz="4"/>
              <w:left w:val="none" w:color="000000" w:sz="4"/>
              <w:bottom w:val="single" w:color="000000" w:sz="4"/>
              <w:right w:val="single" w:color="000000" w:sz="4"/>
            </w:tcBorders>
            <w:vAlign w:val="top"/>
          </w:tcPr>
          <w:p>
            <w:pPr>
              <w:jc w:val="center"/>
            </w:pPr>
            <w:r>
              <w:rPr>
                <w:b/>
                <w:sz w:val="24"/>
              </w:rPr>
              <w:t>所属行业</w:t>
            </w:r>
          </w:p>
        </w:tc>
        <w:tc>
          <w:tcPr>
            <w:tcW w:type="dxa" w:w="1263"/>
            <w:tcBorders>
              <w:top w:val="single" w:color="000000" w:sz="4"/>
              <w:left w:val="none" w:color="000000" w:sz="4"/>
              <w:bottom w:val="single" w:color="000000" w:sz="4"/>
              <w:right w:val="single" w:color="000000" w:sz="4"/>
            </w:tcBorders>
            <w:vAlign w:val="top"/>
          </w:tcPr>
          <w:p>
            <w:pPr>
              <w:jc w:val="center"/>
            </w:pPr>
            <w:r>
              <w:rPr>
                <w:b/>
                <w:sz w:val="24"/>
              </w:rPr>
              <w:t>采购品目</w:t>
            </w:r>
          </w:p>
        </w:tc>
        <w:tc>
          <w:tcPr>
            <w:tcW w:type="dxa" w:w="1354"/>
            <w:tcBorders>
              <w:top w:val="single" w:color="000000" w:sz="4"/>
              <w:left w:val="none" w:color="000000" w:sz="4"/>
              <w:bottom w:val="single" w:color="000000" w:sz="4"/>
              <w:right w:val="single" w:color="000000" w:sz="4"/>
            </w:tcBorders>
            <w:vAlign w:val="top"/>
          </w:tcPr>
          <w:p>
            <w:pPr>
              <w:jc w:val="center"/>
            </w:pPr>
            <w:r>
              <w:rPr>
                <w:b/>
                <w:color w:val="FF0000"/>
                <w:sz w:val="24"/>
              </w:rPr>
              <w:t>标的名称</w:t>
            </w:r>
          </w:p>
        </w:tc>
        <w:tc>
          <w:tcPr>
            <w:tcW w:type="dxa" w:w="2656"/>
            <w:tcBorders>
              <w:top w:val="single" w:color="000000" w:sz="4"/>
              <w:left w:val="none" w:color="000000" w:sz="4"/>
              <w:bottom w:val="single" w:color="000000" w:sz="4"/>
              <w:right w:val="single" w:color="000000" w:sz="4"/>
            </w:tcBorders>
            <w:vAlign w:val="top"/>
          </w:tcPr>
          <w:p>
            <w:pPr>
              <w:jc w:val="center"/>
            </w:pPr>
            <w:r>
              <w:rPr>
                <w:b/>
                <w:color w:val="000000"/>
                <w:sz w:val="24"/>
              </w:rPr>
              <w:t>技术参数</w:t>
            </w:r>
          </w:p>
        </w:tc>
        <w:tc>
          <w:tcPr>
            <w:tcW w:type="dxa" w:w="664"/>
            <w:tcBorders>
              <w:top w:val="single" w:color="000000" w:sz="4"/>
              <w:left w:val="none" w:color="000000" w:sz="4"/>
              <w:bottom w:val="single" w:color="000000" w:sz="4"/>
              <w:right w:val="single" w:color="000000" w:sz="4"/>
            </w:tcBorders>
            <w:vAlign w:val="top"/>
          </w:tcPr>
          <w:p>
            <w:pPr>
              <w:jc w:val="center"/>
            </w:pPr>
            <w:r>
              <w:rPr>
                <w:b/>
                <w:color w:val="000000"/>
                <w:sz w:val="24"/>
              </w:rPr>
              <w:t>数量</w:t>
            </w:r>
          </w:p>
        </w:tc>
        <w:tc>
          <w:tcPr>
            <w:tcW w:type="dxa" w:w="638"/>
            <w:tcBorders>
              <w:top w:val="single" w:color="000000" w:sz="4"/>
              <w:left w:val="none" w:color="000000" w:sz="4"/>
              <w:bottom w:val="single" w:color="000000" w:sz="4"/>
              <w:right w:val="single" w:color="000000" w:sz="4"/>
            </w:tcBorders>
            <w:vAlign w:val="top"/>
          </w:tcPr>
          <w:p>
            <w:pPr>
              <w:jc w:val="center"/>
            </w:pPr>
            <w:r>
              <w:rPr>
                <w:b/>
                <w:color w:val="000000"/>
                <w:sz w:val="24"/>
              </w:rPr>
              <w:t>单位</w:t>
            </w:r>
          </w:p>
        </w:tc>
      </w:tr>
      <w:tr>
        <w:tc>
          <w:tcPr>
            <w:tcW w:type="dxa" w:w="625"/>
            <w:tcBorders>
              <w:top w:val="none" w:color="000000" w:sz="4"/>
              <w:left w:val="single" w:color="000000" w:sz="4"/>
              <w:bottom w:val="single" w:color="000000" w:sz="4"/>
              <w:right w:val="single" w:color="000000" w:sz="4"/>
            </w:tcBorders>
            <w:vAlign w:val="top"/>
          </w:tcPr>
          <w:p>
            <w:pPr>
              <w:jc w:val="center"/>
            </w:pPr>
            <w:r>
              <w:rPr>
                <w:color w:val="000000"/>
                <w:sz w:val="24"/>
              </w:rPr>
              <w:t>1</w:t>
            </w:r>
          </w:p>
        </w:tc>
        <w:tc>
          <w:tcPr>
            <w:tcW w:type="dxa" w:w="1107"/>
            <w:tcBorders>
              <w:top w:val="none" w:color="000000" w:sz="4"/>
              <w:left w:val="none" w:color="000000" w:sz="4"/>
              <w:bottom w:val="single" w:color="000000" w:sz="4"/>
              <w:right w:val="single" w:color="000000" w:sz="4"/>
            </w:tcBorders>
            <w:vAlign w:val="top"/>
          </w:tcPr>
          <w:p>
            <w:pPr>
              <w:jc w:val="center"/>
            </w:pPr>
            <w:r>
              <w:rPr>
                <w:sz w:val="24"/>
              </w:rPr>
              <w:t>软件和信息技术服务业</w:t>
            </w:r>
          </w:p>
        </w:tc>
        <w:tc>
          <w:tcPr>
            <w:tcW w:type="dxa" w:w="1263"/>
            <w:tcBorders>
              <w:top w:val="none" w:color="000000" w:sz="4"/>
              <w:left w:val="none" w:color="000000" w:sz="4"/>
              <w:bottom w:val="single" w:color="000000" w:sz="4"/>
              <w:right w:val="single" w:color="000000" w:sz="4"/>
            </w:tcBorders>
            <w:vAlign w:val="top"/>
          </w:tcPr>
          <w:p>
            <w:pPr>
              <w:jc w:val="center"/>
            </w:pPr>
            <w:r>
              <w:rPr>
                <w:sz w:val="24"/>
              </w:rPr>
              <w:t>C0201软件开发服务</w:t>
            </w:r>
          </w:p>
        </w:tc>
        <w:tc>
          <w:tcPr>
            <w:tcW w:type="dxa" w:w="1354"/>
            <w:tcBorders>
              <w:top w:val="none" w:color="000000" w:sz="4"/>
              <w:left w:val="none" w:color="000000" w:sz="4"/>
              <w:bottom w:val="single" w:color="000000" w:sz="4"/>
              <w:right w:val="single" w:color="000000" w:sz="4"/>
            </w:tcBorders>
            <w:vAlign w:val="top"/>
          </w:tcPr>
          <w:p>
            <w:pPr>
              <w:jc w:val="center"/>
            </w:pPr>
            <w:r>
              <w:rPr>
                <w:sz w:val="24"/>
              </w:rPr>
              <w:t>◆</w:t>
            </w:r>
          </w:p>
          <w:p>
            <w:pPr>
              <w:jc w:val="center"/>
            </w:pPr>
            <w:r>
              <w:rPr>
                <w:color w:val="000000"/>
                <w:sz w:val="24"/>
              </w:rPr>
              <w:t>智慧校园软件</w:t>
            </w:r>
          </w:p>
        </w:tc>
        <w:tc>
          <w:tcPr>
            <w:tcW w:type="dxa" w:w="2656"/>
            <w:tcBorders>
              <w:top w:val="none" w:color="000000" w:sz="4"/>
              <w:left w:val="none" w:color="000000" w:sz="4"/>
              <w:bottom w:val="single" w:color="000000" w:sz="4"/>
              <w:right w:val="single" w:color="000000" w:sz="4"/>
            </w:tcBorders>
            <w:vAlign w:val="top"/>
          </w:tcPr>
          <w:p>
            <w:pPr>
              <w:jc w:val="center"/>
            </w:pPr>
            <w:r>
              <w:rPr>
                <w:b/>
                <w:color w:val="000000"/>
                <w:sz w:val="24"/>
              </w:rPr>
              <w:t>详细技术参数详见附表</w:t>
            </w:r>
            <w:r>
              <w:rPr>
                <w:b/>
                <w:color w:val="000000"/>
                <w:sz w:val="24"/>
              </w:rPr>
              <w:t>1</w:t>
            </w:r>
          </w:p>
        </w:tc>
        <w:tc>
          <w:tcPr>
            <w:tcW w:type="dxa" w:w="664"/>
            <w:tcBorders>
              <w:top w:val="none" w:color="000000" w:sz="4"/>
              <w:left w:val="none" w:color="000000" w:sz="4"/>
              <w:bottom w:val="single" w:color="000000" w:sz="4"/>
              <w:right w:val="single" w:color="000000" w:sz="4"/>
            </w:tcBorders>
            <w:vAlign w:val="top"/>
          </w:tcPr>
          <w:p>
            <w:pPr>
              <w:jc w:val="center"/>
            </w:pPr>
            <w:r>
              <w:rPr>
                <w:color w:val="000000"/>
                <w:sz w:val="24"/>
              </w:rPr>
              <w:t>1</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4"/>
              </w:rPr>
              <w:t>套</w:t>
            </w:r>
          </w:p>
        </w:tc>
      </w:tr>
      <w:tr>
        <w:tc>
          <w:tcPr>
            <w:tcW w:type="dxa" w:w="625"/>
            <w:tcBorders>
              <w:top w:val="none" w:color="000000" w:sz="4"/>
              <w:left w:val="single" w:color="000000" w:sz="4"/>
              <w:bottom w:val="single" w:color="000000" w:sz="4"/>
              <w:right w:val="single" w:color="000000" w:sz="4"/>
            </w:tcBorders>
            <w:vAlign w:val="top"/>
          </w:tcPr>
          <w:p>
            <w:pPr>
              <w:jc w:val="center"/>
            </w:pPr>
            <w:r>
              <w:rPr>
                <w:color w:val="000000"/>
                <w:sz w:val="24"/>
              </w:rPr>
              <w:t>2</w:t>
            </w:r>
          </w:p>
        </w:tc>
        <w:tc>
          <w:tcPr>
            <w:tcW w:type="dxa" w:w="1107"/>
            <w:tcBorders>
              <w:top w:val="none" w:color="000000" w:sz="4"/>
              <w:left w:val="none" w:color="000000" w:sz="4"/>
              <w:bottom w:val="single" w:color="000000" w:sz="4"/>
              <w:right w:val="single" w:color="000000" w:sz="4"/>
            </w:tcBorders>
            <w:vAlign w:val="top"/>
          </w:tcPr>
          <w:p>
            <w:pPr>
              <w:jc w:val="center"/>
            </w:pPr>
            <w:r>
              <w:rPr>
                <w:sz w:val="24"/>
              </w:rPr>
              <w:t>工业</w:t>
            </w:r>
          </w:p>
        </w:tc>
        <w:tc>
          <w:tcPr>
            <w:tcW w:type="dxa" w:w="1263"/>
            <w:tcBorders>
              <w:top w:val="none" w:color="000000" w:sz="4"/>
              <w:left w:val="none" w:color="000000" w:sz="4"/>
              <w:bottom w:val="single" w:color="000000" w:sz="4"/>
              <w:right w:val="single" w:color="000000" w:sz="4"/>
            </w:tcBorders>
            <w:vAlign w:val="top"/>
          </w:tcPr>
          <w:p>
            <w:pPr>
              <w:jc w:val="center"/>
            </w:pPr>
            <w:r>
              <w:rPr>
                <w:sz w:val="24"/>
              </w:rPr>
              <w:t>A033412教学专用仪器</w:t>
            </w:r>
          </w:p>
        </w:tc>
        <w:tc>
          <w:tcPr>
            <w:tcW w:type="dxa" w:w="1354"/>
            <w:tcBorders>
              <w:top w:val="none" w:color="000000" w:sz="4"/>
              <w:left w:val="none" w:color="000000" w:sz="4"/>
              <w:bottom w:val="single" w:color="000000" w:sz="4"/>
              <w:right w:val="single" w:color="000000" w:sz="4"/>
            </w:tcBorders>
            <w:vAlign w:val="top"/>
          </w:tcPr>
          <w:p>
            <w:pPr>
              <w:jc w:val="center"/>
            </w:pPr>
            <w:r>
              <w:rPr>
                <w:color w:val="000000"/>
                <w:sz w:val="24"/>
              </w:rPr>
              <w:t>86英寸智慧黑板</w:t>
            </w:r>
          </w:p>
        </w:tc>
        <w:tc>
          <w:tcPr>
            <w:tcW w:type="dxa" w:w="2656"/>
            <w:tcBorders>
              <w:top w:val="none" w:color="000000" w:sz="4"/>
              <w:left w:val="none" w:color="000000" w:sz="4"/>
              <w:bottom w:val="single" w:color="000000" w:sz="4"/>
              <w:right w:val="single" w:color="000000" w:sz="4"/>
            </w:tcBorders>
            <w:vAlign w:val="top"/>
          </w:tcPr>
          <w:p>
            <w:pPr>
              <w:jc w:val="center"/>
            </w:pPr>
            <w:r>
              <w:rPr>
                <w:b/>
                <w:color w:val="000000"/>
                <w:sz w:val="24"/>
              </w:rPr>
              <w:t>详细技术参数详见附表</w:t>
            </w:r>
            <w:r>
              <w:rPr>
                <w:b/>
                <w:color w:val="000000"/>
                <w:sz w:val="24"/>
              </w:rPr>
              <w:t>2</w:t>
            </w:r>
          </w:p>
        </w:tc>
        <w:tc>
          <w:tcPr>
            <w:tcW w:type="dxa" w:w="664"/>
            <w:tcBorders>
              <w:top w:val="none" w:color="000000" w:sz="4"/>
              <w:left w:val="none" w:color="000000" w:sz="4"/>
              <w:bottom w:val="single" w:color="000000" w:sz="4"/>
              <w:right w:val="single" w:color="000000" w:sz="4"/>
            </w:tcBorders>
            <w:vAlign w:val="top"/>
          </w:tcPr>
          <w:p>
            <w:pPr>
              <w:jc w:val="center"/>
            </w:pPr>
            <w:r>
              <w:rPr>
                <w:color w:val="000000"/>
                <w:sz w:val="24"/>
              </w:rPr>
              <w:t>12</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4"/>
              </w:rPr>
              <w:t>台</w:t>
            </w:r>
          </w:p>
        </w:tc>
      </w:tr>
      <w:tr>
        <w:tc>
          <w:tcPr>
            <w:tcW w:type="dxa" w:w="625"/>
            <w:tcBorders>
              <w:top w:val="none" w:color="000000" w:sz="4"/>
              <w:left w:val="single" w:color="000000" w:sz="4"/>
              <w:bottom w:val="single" w:color="000000" w:sz="4"/>
              <w:right w:val="single" w:color="000000" w:sz="4"/>
            </w:tcBorders>
            <w:vAlign w:val="top"/>
          </w:tcPr>
          <w:p>
            <w:pPr>
              <w:jc w:val="center"/>
            </w:pPr>
            <w:r>
              <w:rPr>
                <w:color w:val="000000"/>
                <w:sz w:val="24"/>
              </w:rPr>
              <w:t>3</w:t>
            </w:r>
          </w:p>
        </w:tc>
        <w:tc>
          <w:tcPr>
            <w:tcW w:type="dxa" w:w="1107"/>
            <w:tcBorders>
              <w:top w:val="none" w:color="000000" w:sz="4"/>
              <w:left w:val="none" w:color="000000" w:sz="4"/>
              <w:bottom w:val="single" w:color="000000" w:sz="4"/>
              <w:right w:val="single" w:color="000000" w:sz="4"/>
            </w:tcBorders>
            <w:vAlign w:val="top"/>
          </w:tcPr>
          <w:p>
            <w:pPr>
              <w:jc w:val="center"/>
            </w:pPr>
            <w:r>
              <w:rPr>
                <w:sz w:val="24"/>
              </w:rPr>
              <w:t>其他未列明行业</w:t>
            </w:r>
          </w:p>
        </w:tc>
        <w:tc>
          <w:tcPr>
            <w:tcW w:type="dxa" w:w="1263"/>
            <w:tcBorders>
              <w:top w:val="none" w:color="000000" w:sz="4"/>
              <w:left w:val="none" w:color="000000" w:sz="4"/>
              <w:bottom w:val="single" w:color="000000" w:sz="4"/>
              <w:right w:val="single" w:color="000000" w:sz="4"/>
            </w:tcBorders>
            <w:vAlign w:val="top"/>
          </w:tcPr>
          <w:p>
            <w:pPr>
              <w:jc w:val="center"/>
            </w:pPr>
            <w:r>
              <w:rPr>
                <w:sz w:val="24"/>
              </w:rPr>
              <w:t>C99其他服务</w:t>
            </w:r>
          </w:p>
        </w:tc>
        <w:tc>
          <w:tcPr>
            <w:tcW w:type="dxa" w:w="1354"/>
            <w:tcBorders>
              <w:top w:val="none" w:color="000000" w:sz="4"/>
              <w:left w:val="none" w:color="000000" w:sz="4"/>
              <w:bottom w:val="single" w:color="000000" w:sz="4"/>
              <w:right w:val="single" w:color="000000" w:sz="4"/>
            </w:tcBorders>
            <w:vAlign w:val="top"/>
          </w:tcPr>
          <w:p>
            <w:pPr>
              <w:jc w:val="center"/>
            </w:pPr>
            <w:r>
              <w:rPr>
                <w:color w:val="000000"/>
                <w:sz w:val="24"/>
              </w:rPr>
              <w:t>综合布线</w:t>
            </w:r>
          </w:p>
        </w:tc>
        <w:tc>
          <w:tcPr>
            <w:tcW w:type="dxa" w:w="2656"/>
            <w:tcBorders>
              <w:top w:val="none" w:color="000000" w:sz="4"/>
              <w:left w:val="none" w:color="000000" w:sz="4"/>
              <w:bottom w:val="single" w:color="000000" w:sz="4"/>
              <w:right w:val="single" w:color="000000" w:sz="4"/>
            </w:tcBorders>
            <w:vAlign w:val="top"/>
          </w:tcPr>
          <w:p>
            <w:pPr>
              <w:jc w:val="center"/>
            </w:pPr>
            <w:r>
              <w:rPr>
                <w:color w:val="000000"/>
                <w:sz w:val="24"/>
              </w:rPr>
              <w:t>安装施工及布线，相关辅材</w:t>
            </w:r>
          </w:p>
        </w:tc>
        <w:tc>
          <w:tcPr>
            <w:tcW w:type="dxa" w:w="664"/>
            <w:tcBorders>
              <w:top w:val="none" w:color="000000" w:sz="4"/>
              <w:left w:val="none" w:color="000000" w:sz="4"/>
              <w:bottom w:val="single" w:color="000000" w:sz="4"/>
              <w:right w:val="single" w:color="000000" w:sz="4"/>
            </w:tcBorders>
            <w:vAlign w:val="top"/>
          </w:tcPr>
          <w:p>
            <w:pPr>
              <w:jc w:val="center"/>
            </w:pPr>
            <w:r>
              <w:rPr>
                <w:color w:val="000000"/>
                <w:sz w:val="24"/>
              </w:rPr>
              <w:t>12</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4"/>
              </w:rPr>
              <w:t>套</w:t>
            </w:r>
          </w:p>
        </w:tc>
      </w:tr>
    </w:tbl>
    <w:p>
      <w:r>
        <w:rPr/>
        <w:t xml:space="preserve"> </w:t>
      </w:r>
    </w:p>
    <w:p>
      <w:r>
        <w:rPr>
          <w:sz w:val="24"/>
        </w:rPr>
        <w:t>注：</w:t>
      </w:r>
      <w:r>
        <w:rPr>
          <w:sz w:val="24"/>
        </w:rPr>
        <w:t>1.投标报价超出预算金额的列为无效投标处理。</w:t>
      </w:r>
    </w:p>
    <w:p>
      <w:pPr>
        <w:ind w:firstLine="480"/>
      </w:pPr>
      <w:r>
        <w:rPr>
          <w:sz w:val="24"/>
        </w:rPr>
        <w:t>2．投标报价应为人民币含税全包价，包括但不限于货物、服务、运输、安装调试、验收、培训、保修、税费及合同实施过程中不可预见费用等。</w:t>
      </w:r>
    </w:p>
    <w:p>
      <w:pPr>
        <w:ind w:firstLine="480"/>
      </w:pPr>
      <w:r>
        <w:rPr>
          <w:sz w:val="24"/>
        </w:rPr>
        <w:t>3．投标人必须对本项目的全部内容进行投标报价，如有缺漏，评标委员会将对其投标文件作无效投标处理。</w:t>
      </w:r>
    </w:p>
    <w:p/>
    <w:p>
      <w:pPr>
        <w:ind w:firstLine="480"/>
      </w:pPr>
    </w:p>
    <w:p/>
    <w:p>
      <w:r>
        <w:rPr/>
        <w:t>采购包1（乳源瑶族自治县中等职业技术学校“扩容、提质、强服务”项目智慧校园管理系统及智慧黑板采购）：</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合同签订后30天日内安装、调试并完成验收。</w:t>
            </w:r>
          </w:p>
        </w:tc>
      </w:tr>
      <w:tr>
        <w:tc>
          <w:tcPr>
            <w:tcW w:type="dxa" w:w="4153"/>
          </w:tcPr>
          <w:p>
            <w:r>
              <w:rPr/>
              <w:t>标的提供的地点</w:t>
            </w:r>
          </w:p>
        </w:tc>
        <w:tc>
          <w:tcPr>
            <w:tcW w:type="dxa" w:w="4153"/>
          </w:tcPr>
          <w:p>
            <w:pPr>
              <w:jc w:val="left"/>
            </w:pPr>
          </w:p>
          <w:p>
            <w:r>
              <w:rPr/>
              <w:t>乳源瑶族自治县，采购人指定地点。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1期：支付比例100%，项目验收合格后10个工作日内采购人支付合同总额100％给中标人。</w:t>
            </w:r>
          </w:p>
        </w:tc>
      </w:tr>
      <w:tr>
        <w:tc>
          <w:tcPr>
            <w:tcW w:type="dxa" w:w="4153"/>
          </w:tcPr>
          <w:p>
            <w:r>
              <w:rPr/>
              <w:t>验收要求</w:t>
            </w:r>
          </w:p>
        </w:tc>
        <w:tc>
          <w:tcPr>
            <w:tcW w:type="dxa" w:w="4153"/>
          </w:tcPr>
          <w:p>
            <w:pPr>
              <w:jc w:val="left"/>
            </w:pPr>
          </w:p>
          <w:p/>
          <w:p/>
          <w:p>
            <w:r>
              <w:rPr/>
              <w:t>1期：交付验收标准依次序对照适用标准为： （1）符合中华人民共和国国家安全质量标准、环保标准或行业标准； （2）符合招标文件和中标人投标文件的要求； （3）符合货物来源国官方标准； （4）货物运抵现场后，采购人将对产品质量、规格等进行检验。如发现产品与招标文件、投标文件、合同不符，采购人有权根据检验结果要求中标人立即更换或提出索赔要求。 （5）项目交货并完成安装、调试、人员培训后，由中标人提出验收申请，15天内由采购人组织人员共同对项目进行验收，必要时邀请相关的专业人员或机构参与验收。</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其他商务要求:（一）质保期限：从验收合格之日起计算，所供设备及软件要求提供三年全免费保修保用服务，如原厂家有更长保修期限以厂家提供的为准。 （二）投标人须提供详细的售后服务承诺；投标时提供售后服务详细地址和售后服务技术人名单并加盖售后服务机构公章。 （三）保修期内若设备出现故障，中标人必须在收到使用单位通知后4小时内到达现场处理故障。报修48小时内不能修好的提供相同档次的配件和设备代用。维修超过一个月（或确认不能修复的），由中标人按原型号或升级型号进行更换。 （四）自验收合格日计算，中标人负责所有产品的维修、维护和保养等跟踪服务，保修期内，不再收取任何费用，并提供终身维修服务，保质期满后需进行维修的只收取材料成本费。 （五）所有设备及软件保修服务方式均为中标人上门保修，由此产生的一切费用均由中标人承担。  （六）报价要求：投标人必须对本项目的全部内容进行报价，总报价不能超出本项目预算，报价包括货物、包装、运输、保险、人工安装、税费等各项费用。 （七）付款方式： 由采购人按下列程序付款： 1.项目验收合格后10个工作日内采购人支付合同总额100％给中标人。 2.中标人凭以下有效文件与采购人结算： （1）合同； （2）中标人开具的正式发票； （3）验收报告（加盖采购人公章）； （4）中标通知书。</w:t>
              <w:tab/>
              <w:t xml:space="preserve">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教学专用仪器</w:t>
            </w:r>
          </w:p>
        </w:tc>
        <w:tc>
          <w:tcPr>
            <w:tcW w:type="dxa" w:w="1923"/>
          </w:tcPr>
          <w:p>
            <w:r>
              <w:rPr/>
              <w:t>乳源瑶族自治县中等职业技术学校“扩容、提质、强服务”项目智慧校园管理系统及智慧黑板采购</w:t>
            </w:r>
          </w:p>
        </w:tc>
        <w:tc>
          <w:tcPr>
            <w:tcW w:type="dxa" w:w="385"/>
          </w:tcPr>
          <w:p>
            <w:r>
              <w:rPr/>
              <w:t>项</w:t>
            </w:r>
          </w:p>
        </w:tc>
        <w:tc>
          <w:tcPr>
            <w:tcW w:type="dxa" w:w="769"/>
          </w:tcPr>
          <w:p>
            <w:pPr>
              <w:jc w:val="right"/>
            </w:pPr>
            <w:r>
              <w:rPr/>
              <w:t>1.0000</w:t>
            </w:r>
          </w:p>
        </w:tc>
        <w:tc>
          <w:tcPr>
            <w:tcW w:type="dxa" w:w="769"/>
          </w:tcPr>
          <w:p>
            <w:pPr>
              <w:jc w:val="right"/>
            </w:pPr>
            <w:r>
              <w:rPr/>
              <w:t>2,060,000.00</w:t>
            </w:r>
          </w:p>
        </w:tc>
        <w:tc>
          <w:tcPr>
            <w:tcW w:type="dxa" w:w="769"/>
          </w:tcPr>
          <w:p>
            <w:pPr>
              <w:jc w:val="right"/>
            </w:pPr>
            <w:r>
              <w:rPr/>
              <w:t>2,060,000.00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乳源瑶族自治县中等职业技术学校“扩容、提质、强服务”项目智慧校园管理系统及智慧黑板采购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4"/>
              </w:rPr>
              <w:t>附件</w:t>
            </w:r>
            <w:r>
              <w:rPr>
                <w:b/>
                <w:sz w:val="24"/>
              </w:rPr>
              <w:t>1：智慧校园软件</w:t>
            </w:r>
          </w:p>
          <w:p>
            <w:pPr>
              <w:jc w:val="both"/>
            </w:pPr>
            <w:r>
              <w:rPr>
                <w:b/>
                <w:sz w:val="24"/>
              </w:rPr>
              <w:t>（一）总体使用规划</w:t>
            </w:r>
          </w:p>
          <w:p>
            <w:pPr>
              <w:jc w:val="both"/>
            </w:pPr>
            <w:r>
              <w:rPr>
                <w:sz w:val="24"/>
              </w:rPr>
              <w:t>1.管理端</w:t>
            </w:r>
          </w:p>
          <w:p>
            <w:pPr>
              <w:ind w:firstLine="480"/>
              <w:jc w:val="both"/>
            </w:pPr>
            <w:r>
              <w:rPr>
                <w:sz w:val="24"/>
              </w:rPr>
              <w:t>管理端主要进行平台教师、学生、部门架构、角色授权等基础数据的维护，支撑整个平台和各系统模块的正常运作；监控各功能模块的使用情况，查看大数据分析、导出各类统计报表，辅助相关决策和总结上报数据，提高办公效率、实现智慧化管理。</w:t>
            </w:r>
          </w:p>
          <w:p>
            <w:pPr>
              <w:jc w:val="both"/>
            </w:pPr>
            <w:r>
              <w:rPr>
                <w:sz w:val="24"/>
              </w:rPr>
              <w:t>2.教师端</w:t>
            </w:r>
          </w:p>
          <w:p>
            <w:pPr>
              <w:ind w:firstLine="542"/>
              <w:jc w:val="both"/>
            </w:pPr>
            <w:r>
              <w:rPr>
                <w:sz w:val="24"/>
              </w:rPr>
              <w:t>教师端用于学校教师使用各项功能业务，在实际工作中通过教务系统进行教师、学生的管理工作；通过综合管理平台完成日常校务办公、数据上报；通过审批管理平台进行线上审批等等。各功能模块分工明确，教师使用教师端将个人业务、班级动态、学生表现及时传递处理，方便学校掌握情况、提高管理效率，实现科学决策和教育治理。</w:t>
            </w:r>
          </w:p>
          <w:p>
            <w:pPr>
              <w:jc w:val="both"/>
            </w:pPr>
            <w:r>
              <w:rPr>
                <w:sz w:val="24"/>
              </w:rPr>
              <w:t>3.学生端</w:t>
            </w:r>
          </w:p>
          <w:p>
            <w:pPr>
              <w:ind w:firstLine="542"/>
              <w:jc w:val="both"/>
            </w:pPr>
            <w:r>
              <w:rPr>
                <w:sz w:val="24"/>
              </w:rPr>
              <w:t>学生端主要用学生查询在校期间的课程、成绩、表彰、德育奖惩、学期末评比等数据及时反思总结自身表现；使用审批管理申请审批以及上报健康信息。</w:t>
            </w:r>
          </w:p>
          <w:p>
            <w:pPr>
              <w:jc w:val="both"/>
            </w:pPr>
            <w:r>
              <w:rPr>
                <w:sz w:val="24"/>
              </w:rPr>
              <w:t>4.家长端</w:t>
            </w:r>
          </w:p>
          <w:p>
            <w:pPr>
              <w:ind w:firstLine="542"/>
              <w:jc w:val="both"/>
            </w:pPr>
            <w:r>
              <w:rPr>
                <w:sz w:val="24"/>
              </w:rPr>
              <w:t>家长端主要用于学生家长接收学校信息推送，及时了解学生在校德育表现、考试成绩等数据，使用审批功能完成家长审核的步骤。</w:t>
            </w:r>
          </w:p>
          <w:p>
            <w:pPr>
              <w:ind w:firstLine="542"/>
              <w:jc w:val="both"/>
            </w:pPr>
            <w:r>
              <w:rPr>
                <w:sz w:val="24"/>
              </w:rPr>
              <w:t>（二）项目具体要求</w:t>
            </w:r>
            <w:r>
              <w:br/>
            </w:r>
            <w:r>
              <w:rPr>
                <w:sz w:val="24"/>
              </w:rPr>
              <w:t>1.软件开发要求</w:t>
            </w:r>
            <w:r>
              <w:br/>
            </w:r>
            <w:r>
              <w:rPr>
                <w:sz w:val="24"/>
              </w:rPr>
              <w:t>根据学校的要求定制开发的软件系统，开发过程遵循软件工程的规范，新建系统的方案设想，并进行可行性分析。在程序编码前进行系统的概要设计和详细设计，在程序编制结束后进行软件测试，交付使用时，对学校有关人员进行操作培训，并提供软件正常运行后常规维护和软件升级。采用B/S架构、基于PHP语言、MySQL数据库开发，遵循Web Service和XML技术标准和规范，支持Windows、Linux等平台的较新版本。后期应能根据需要可兼容国产操作系统，软件应能根据相关文件政策进行升级更新，同时后期能根据需求进行二次开发。</w:t>
            </w:r>
            <w:r>
              <w:br/>
            </w:r>
            <w:r>
              <w:rPr>
                <w:sz w:val="24"/>
              </w:rPr>
              <w:t>2.系统对接要求</w:t>
            </w:r>
            <w:r>
              <w:br/>
            </w:r>
            <w:r>
              <w:rPr>
                <w:sz w:val="24"/>
              </w:rPr>
              <w:t>系统须根据学校统一数据标准、规范进行建设实施，同学校数据中心完成数据集成。升级或新建的业务系统，须按照数据中心的数据接口标准开放数据库只读权限，提供相应的数据字典及数据视图，提供API接口，配合学校数据中心做好数据采集的接口对接工作，承担主要的接口开发工作量，保障学校数据中心对本业务系统的相关数据的采集和治理情况。</w:t>
            </w:r>
            <w:r>
              <w:br/>
            </w:r>
            <w:r>
              <w:rPr>
                <w:sz w:val="24"/>
              </w:rPr>
              <w:t>3.软件功能内容</w:t>
            </w:r>
          </w:p>
          <w:tbl>
            <w:tblPr>
              <w:tblBorders>
                <w:top w:val="none" w:color="000000" w:sz="4"/>
                <w:left w:val="none" w:color="000000" w:sz="4"/>
                <w:bottom w:val="none" w:color="000000" w:sz="4"/>
                <w:right w:val="none" w:color="000000" w:sz="4"/>
                <w:insideH w:val="none"/>
                <w:insideV w:val="none"/>
              </w:tblBorders>
            </w:tblPr>
            <w:tblGrid>
              <w:gridCol w:w="566"/>
              <w:gridCol w:w="1026"/>
              <w:gridCol w:w="1002"/>
              <w:gridCol w:w="3003"/>
            </w:tblGrid>
            <w:tr>
              <w:tc>
                <w:tcPr>
                  <w:tcW w:type="dxa" w:w="1592"/>
                  <w:gridSpan w:val="2"/>
                  <w:tcBorders>
                    <w:top w:val="single" w:color="000000" w:sz="4"/>
                    <w:left w:val="single" w:color="000000" w:sz="4"/>
                    <w:bottom w:val="single" w:color="000000" w:sz="4"/>
                    <w:right w:val="single" w:color="000000" w:sz="4"/>
                  </w:tcBorders>
                  <w:vAlign w:val="top"/>
                </w:tcPr>
                <w:p>
                  <w:pPr>
                    <w:jc w:val="center"/>
                  </w:pPr>
                  <w:r>
                    <w:rPr>
                      <w:sz w:val="24"/>
                    </w:rPr>
                    <w:t>软件功能内容</w:t>
                  </w:r>
                </w:p>
              </w:tc>
              <w:tc>
                <w:tcPr>
                  <w:tcW w:type="dxa" w:w="4005"/>
                  <w:gridSpan w:val="2"/>
                  <w:tcBorders>
                    <w:top w:val="single" w:color="000000" w:sz="4"/>
                    <w:left w:val="single" w:color="000000" w:sz="4"/>
                    <w:bottom w:val="single" w:color="000000" w:sz="4"/>
                    <w:right w:val="single" w:color="000000" w:sz="4"/>
                  </w:tcBorders>
                  <w:vAlign w:val="top"/>
                </w:tcPr>
                <w:p>
                  <w:pPr>
                    <w:jc w:val="left"/>
                  </w:pPr>
                  <w:r>
                    <w:rPr>
                      <w:sz w:val="24"/>
                    </w:rPr>
                    <w:t>说明</w:t>
                  </w:r>
                </w:p>
              </w:tc>
            </w:tr>
            <w:tr>
              <w:tc>
                <w:tcPr>
                  <w:tcW w:type="dxa" w:w="5597"/>
                  <w:gridSpan w:val="4"/>
                  <w:tcBorders>
                    <w:top w:val="none" w:color="000000" w:sz="4"/>
                    <w:left w:val="single" w:color="000000" w:sz="4"/>
                    <w:bottom w:val="single" w:color="000000" w:sz="4"/>
                    <w:right w:val="single" w:color="000000" w:sz="4"/>
                  </w:tcBorders>
                  <w:vAlign w:val="top"/>
                </w:tcPr>
                <w:p>
                  <w:pPr>
                    <w:jc w:val="center"/>
                  </w:pPr>
                  <w:r>
                    <w:rPr>
                      <w:sz w:val="24"/>
                    </w:rPr>
                    <w:t>智慧校园系统</w:t>
                  </w:r>
                </w:p>
              </w:tc>
            </w:tr>
            <w:tr>
              <w:tc>
                <w:tcPr>
                  <w:tcW w:type="dxa" w:w="566"/>
                  <w:tcBorders>
                    <w:top w:val="none" w:color="000000" w:sz="4"/>
                    <w:left w:val="single" w:color="000000" w:sz="4"/>
                    <w:bottom w:val="single" w:color="000000" w:sz="4"/>
                    <w:right w:val="single" w:color="000000" w:sz="4"/>
                  </w:tcBorders>
                  <w:vAlign w:val="top"/>
                </w:tcPr>
                <w:p>
                  <w:pPr>
                    <w:jc w:val="center"/>
                  </w:pPr>
                  <w:r>
                    <w:rPr>
                      <w:sz w:val="24"/>
                    </w:rPr>
                    <w:t>后台</w:t>
                  </w:r>
                </w:p>
                <w:p>
                  <w:pPr>
                    <w:jc w:val="center"/>
                  </w:pPr>
                  <w:r>
                    <w:rPr>
                      <w:sz w:val="24"/>
                    </w:rPr>
                    <w:t>主页</w:t>
                  </w:r>
                </w:p>
              </w:tc>
              <w:tc>
                <w:tcPr>
                  <w:tcW w:type="dxa" w:w="1026"/>
                  <w:tcBorders>
                    <w:top w:val="single" w:color="000000" w:sz="4"/>
                    <w:left w:val="single" w:color="000000" w:sz="4"/>
                    <w:bottom w:val="single" w:color="000000" w:sz="4"/>
                    <w:right w:val="single" w:color="000000" w:sz="4"/>
                  </w:tcBorders>
                  <w:vAlign w:val="top"/>
                </w:tcPr>
                <w:p>
                  <w:pPr>
                    <w:jc w:val="center"/>
                  </w:pPr>
                  <w:r>
                    <w:rPr>
                      <w:sz w:val="24"/>
                    </w:rPr>
                    <w:t>后台主页</w:t>
                  </w:r>
                </w:p>
              </w:tc>
              <w:tc>
                <w:tcPr>
                  <w:tcW w:type="dxa" w:w="4005"/>
                  <w:gridSpan w:val="2"/>
                  <w:tcBorders>
                    <w:top w:val="single" w:color="000000" w:sz="4"/>
                    <w:left w:val="single" w:color="000000" w:sz="4"/>
                    <w:bottom w:val="single" w:color="000000" w:sz="4"/>
                    <w:right w:val="single" w:color="000000" w:sz="4"/>
                  </w:tcBorders>
                  <w:vAlign w:val="top"/>
                </w:tcPr>
                <w:p>
                  <w:pPr>
                    <w:jc w:val="left"/>
                  </w:pPr>
                  <w:r>
                    <w:rPr>
                      <w:sz w:val="24"/>
                    </w:rPr>
                    <w:t>查看个人信息，待办事项，快速跳转各功能模块</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p>
                <w:p>
                  <w:pPr>
                    <w:jc w:val="center"/>
                  </w:pPr>
                  <w:r>
                    <w:rPr>
                      <w:sz w:val="24"/>
                    </w:rPr>
                    <w:t>基础管理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学校设置</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设置学校、校区信息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通用数据字典</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设置校园公共基础字典</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场室管理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设置建筑物内各场室和对应负责人</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学年管理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设置学校的学年学期</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教师数据字典</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设置关于教师的数据字典</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假期管理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设置假期及其节日祝福</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操作记录</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记录操作人员和操作信息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菜单管理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设置导航栏的路径和图标</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权限管理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设置不同用户的操作权限</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签到设置</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设置考勤时间</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登录统计</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统计教师的登录信息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反馈管理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统计反馈信息</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p>
                <w:p>
                  <w:pPr>
                    <w:jc w:val="center"/>
                  </w:pPr>
                </w:p>
                <w:p>
                  <w:pPr>
                    <w:jc w:val="center"/>
                  </w:pPr>
                  <w:r>
                    <w:rPr>
                      <w:sz w:val="24"/>
                    </w:rPr>
                    <w:t>教职</w:t>
                  </w:r>
                </w:p>
                <w:p>
                  <w:pPr>
                    <w:jc w:val="center"/>
                  </w:pPr>
                  <w:r>
                    <w:rPr>
                      <w:sz w:val="24"/>
                    </w:rPr>
                    <w:t>工管</w:t>
                  </w:r>
                </w:p>
                <w:p>
                  <w:pPr>
                    <w:jc w:val="center"/>
                  </w:pPr>
                  <w:r>
                    <w:rPr>
                      <w:sz w:val="24"/>
                    </w:rPr>
                    <w:t>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所有教师用户</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用于管理学校所有的教职人员</w:t>
                  </w:r>
                </w:p>
                <w:p>
                  <w:pPr>
                    <w:jc w:val="left"/>
                  </w:pPr>
                  <w:r>
                    <w:rPr>
                      <w:sz w:val="24"/>
                    </w:rPr>
                    <w:t>1.设定教职工信息项目：姓名、出生年月、身份证号、性别、毕业时间、毕业院校、所学专业（支持录入1-3条学历信息），最高学历、最高学位、参加工作时间、来校时间、最高职称名称、取得时间、最技能等级名称，取得时间，教师资格证，取得时间，理论课/实习课教师，专职教师/兼职教师，编内/编外等。</w:t>
                  </w:r>
                </w:p>
                <w:p>
                  <w:pPr>
                    <w:jc w:val="left"/>
                  </w:pPr>
                  <w:r>
                    <w:rPr>
                      <w:sz w:val="24"/>
                    </w:rPr>
                    <w:t>2.提供教职工档案信息分类、批量录入、查阅、照片查询。</w:t>
                  </w:r>
                </w:p>
                <w:p>
                  <w:pPr>
                    <w:jc w:val="left"/>
                  </w:pPr>
                  <w:r>
                    <w:rPr>
                      <w:sz w:val="24"/>
                    </w:rPr>
                    <w:t>3.教职工名册分类筛选、导出、信息核对、统计分析等功能。</w:t>
                  </w:r>
                </w:p>
                <w:p>
                  <w:pPr>
                    <w:jc w:val="left"/>
                  </w:pPr>
                  <w:r>
                    <w:rPr>
                      <w:sz w:val="24"/>
                    </w:rPr>
                    <w:t>4.通讯录管理。</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教师角色职务</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用于分配教师职位，并进行添加、修改和删除用户职位</w:t>
                  </w:r>
                  <w:r>
                    <w:rPr>
                      <w:sz w:val="24"/>
                    </w:rPr>
                    <w:t>.结合系统权限管理，实现职务功能权限划分</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教师部门</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用于添加、修改和删除用户部门</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公众号绑定</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管理员管理查看用户是否绑定公众号</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教师数据</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用于进行用户的数据统计，支持统计省市级专业带头人或骨干教师的比例、</w:t>
                  </w:r>
                  <w:r>
                    <w:rPr>
                      <w:sz w:val="24"/>
                    </w:rPr>
                    <w:t>“双师型”教师比例、高级专业技术职务教师比例、教师学历达标率、兼职教师比例、教师培养规模等信息。</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个人</w:t>
                  </w:r>
                </w:p>
                <w:p>
                  <w:pPr>
                    <w:jc w:val="center"/>
                  </w:pPr>
                  <w:r>
                    <w:rPr>
                      <w:sz w:val="24"/>
                    </w:rPr>
                    <w:t>中心</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个人信息</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查看，修改用户个人资料</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通知公告</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查看发布公告，有已读，未读状态</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考勤记录</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查看个人考勤记录图表</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我的班级</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显示我的班级列表（有课程安排的班级）</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学生成绩</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管理查看有课程教师的学生期中期末成绩和提交情况</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课堂评分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显示基本的课堂信息，可对课堂违纪学生进行扣分</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我的课表</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查看个人课表信息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我的审批</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管理我发起的审批，查看审批进度、撤销审批</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我的会议</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查看成员包含了当前登录用户的会议，并展示会议的基本信息。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报障维修</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查看维修记录，可申请维修，删除维修</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通讯录</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可根据部门查询部门成员的通讯方式，可快速查询当前用户的科部长、级组、级组班主任、同部门的成员通讯方式。</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机房管理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查看机房管理情况，可以编辑机房管理详情</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我的公开课</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查看公开课列表、我发起的公开课、我的听课，可编辑，查看公开课详情</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我的作业</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查看移动端提交作业情况汇总</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我要反馈</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可向系统管理员反馈遇到的问题。</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个人证书管理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管理添加证书信息</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教务</w:t>
                  </w:r>
                </w:p>
                <w:p>
                  <w:pPr>
                    <w:jc w:val="center"/>
                  </w:pPr>
                  <w:r>
                    <w:rPr>
                      <w:sz w:val="24"/>
                    </w:rPr>
                    <w:t>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考试管理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管理考试信息。设置考试信息</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考证管理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学生考证</w:t>
                  </w:r>
                </w:p>
              </w:tc>
              <w:tc>
                <w:tcPr>
                  <w:tcW w:type="dxa" w:w="3003"/>
                  <w:tcBorders>
                    <w:top w:val="single" w:color="000000" w:sz="4"/>
                    <w:left w:val="single" w:color="000000" w:sz="4"/>
                    <w:bottom w:val="single" w:color="000000" w:sz="4"/>
                    <w:right w:val="single" w:color="000000" w:sz="4"/>
                  </w:tcBorders>
                  <w:vAlign w:val="top"/>
                </w:tcPr>
                <w:p>
                  <w:pPr>
                    <w:jc w:val="left"/>
                  </w:pPr>
                  <w:r>
                    <w:rPr>
                      <w:sz w:val="24"/>
                    </w:rPr>
                    <w:t>管理添加学生考证记录，形成学生个人档案</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学生考证统计</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查看学生考证统计。可导出学生考证统计表</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成绩管理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成绩管理</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用于每个学期科任老师进行成绩提交</w:t>
                  </w:r>
                </w:p>
                <w:p>
                  <w:pPr>
                    <w:jc w:val="left"/>
                  </w:pPr>
                  <w:r>
                    <w:rPr>
                      <w:sz w:val="24"/>
                    </w:rPr>
                    <w:t>支持自由配置卷面分、平时表现分占比</w:t>
                  </w:r>
                </w:p>
                <w:p>
                  <w:pPr>
                    <w:jc w:val="left"/>
                  </w:pPr>
                  <w:r>
                    <w:rPr>
                      <w:sz w:val="24"/>
                    </w:rPr>
                    <w:t>支持自定义学分规则，并汇算成绩对应学分</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班级成绩</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管理查看班级成绩、排名、统计及格率等数据</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学生成绩</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管理查看学生个人成绩</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学生补考</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查看学生补考记录</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学分管理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学份汇总</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用于查看学生的所有学分合计，级长只可以看见自己级组中的班级，班主任只可以看见自己的班级。</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奖励学分</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用于对表现良好的学生进行奖励学分。</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智能排课</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智能排课</w:t>
                  </w:r>
                </w:p>
              </w:tc>
              <w:tc>
                <w:tcPr>
                  <w:tcW w:type="dxa" w:w="3003"/>
                  <w:tcBorders>
                    <w:top w:val="none" w:color="000000" w:sz="4"/>
                    <w:left w:val="single" w:color="000000" w:sz="4"/>
                    <w:bottom w:val="single" w:color="000000" w:sz="4"/>
                    <w:right w:val="single" w:color="000000" w:sz="4"/>
                  </w:tcBorders>
                  <w:vAlign w:val="top"/>
                </w:tcPr>
                <w:p>
                  <w:pPr>
                    <w:jc w:val="left"/>
                  </w:pPr>
                  <w:r>
                    <w:rPr>
                      <w:b/>
                      <w:sz w:val="24"/>
                    </w:rPr>
                    <w:t>▲</w:t>
                  </w:r>
                  <w:r>
                    <w:rPr>
                      <w:sz w:val="24"/>
                    </w:rPr>
                    <w:t>用于设置每个学期的课程表，可智能排课、导出排课、导入排课、备份数据。一键生成全校排课的功能，并可自动分发到对应教师及相关领导。教务管理人员可根据现有课表进行调课，调课过程中提供解决冲突检测与各类规则检测（实训室适用性、特殊时间规避、职务规则等）：投标时提供软件功能截图证明</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排课规则</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系统可以预先对相关的规则进行设置，设置完成后智能排课将优先满足规则的特定条件下进行全校排课，可以配置规则如下：</w:t>
                  </w:r>
                </w:p>
                <w:p>
                  <w:pPr>
                    <w:numPr>
                      <w:ilvl w:val="0"/>
                      <w:numId w:val="1"/>
                    </w:numPr>
                    <w:jc w:val="left"/>
                  </w:pPr>
                  <w:r>
                    <w:rPr>
                      <w:sz w:val="24"/>
                    </w:rPr>
                    <w:t>年级排课规则：指定某个年级在某节次的排课课程</w:t>
                  </w:r>
                </w:p>
                <w:p>
                  <w:pPr>
                    <w:numPr>
                      <w:ilvl w:val="0"/>
                      <w:numId w:val="1"/>
                    </w:numPr>
                    <w:jc w:val="left"/>
                  </w:pPr>
                  <w:r>
                    <w:rPr>
                      <w:sz w:val="24"/>
                    </w:rPr>
                    <w:t>班级排课规则：指定某个班级在某节次的排课课程</w:t>
                  </w:r>
                </w:p>
                <w:p>
                  <w:pPr>
                    <w:numPr>
                      <w:ilvl w:val="0"/>
                      <w:numId w:val="1"/>
                    </w:numPr>
                    <w:jc w:val="left"/>
                  </w:pPr>
                  <w:r>
                    <w:rPr>
                      <w:sz w:val="24"/>
                    </w:rPr>
                    <w:t>教师排课规则：指定某个班级在某节次的排课课程</w:t>
                  </w:r>
                </w:p>
                <w:p>
                  <w:pPr>
                    <w:numPr>
                      <w:ilvl w:val="0"/>
                      <w:numId w:val="1"/>
                    </w:numPr>
                    <w:jc w:val="left"/>
                  </w:pPr>
                  <w:r>
                    <w:rPr>
                      <w:sz w:val="24"/>
                    </w:rPr>
                    <w:t>部门规则：指定某个部门的教师在某节次的不安排课程</w:t>
                  </w:r>
                </w:p>
                <w:p>
                  <w:pPr>
                    <w:numPr>
                      <w:ilvl w:val="0"/>
                      <w:numId w:val="1"/>
                    </w:numPr>
                    <w:jc w:val="left"/>
                  </w:pPr>
                  <w:r>
                    <w:rPr>
                      <w:sz w:val="24"/>
                    </w:rPr>
                    <w:t>职务、角色规则：指定某个职务的教师在某节次的不安排课程</w:t>
                  </w:r>
                </w:p>
                <w:p>
                  <w:pPr>
                    <w:numPr>
                      <w:ilvl w:val="0"/>
                      <w:numId w:val="1"/>
                    </w:numPr>
                    <w:jc w:val="left"/>
                  </w:pPr>
                  <w:r>
                    <w:rPr>
                      <w:sz w:val="24"/>
                    </w:rPr>
                    <w:t>课程规则：指定某个课程在某节次的排课课程</w:t>
                  </w:r>
                </w:p>
                <w:p>
                  <w:pPr>
                    <w:numPr>
                      <w:ilvl w:val="0"/>
                      <w:numId w:val="1"/>
                    </w:numPr>
                    <w:jc w:val="left"/>
                  </w:pPr>
                  <w:r>
                    <w:rPr>
                      <w:sz w:val="24"/>
                    </w:rPr>
                    <w:t>课程机房规则：指定某个机房在某节次的排课课程</w:t>
                  </w:r>
                </w:p>
                <w:p>
                  <w:pPr>
                    <w:numPr>
                      <w:ilvl w:val="0"/>
                      <w:numId w:val="1"/>
                    </w:numPr>
                    <w:jc w:val="left"/>
                  </w:pPr>
                  <w:r>
                    <w:rPr>
                      <w:sz w:val="24"/>
                    </w:rPr>
                    <w:t>班级课程最大连堂数：设定课程的连堂限制</w:t>
                  </w:r>
                </w:p>
                <w:p>
                  <w:pPr>
                    <w:numPr>
                      <w:ilvl w:val="0"/>
                      <w:numId w:val="1"/>
                    </w:numPr>
                    <w:jc w:val="left"/>
                  </w:pPr>
                  <w:r>
                    <w:rPr>
                      <w:sz w:val="24"/>
                    </w:rPr>
                    <w:t>教师一天最大课程数：设定教师一天上课数量的限制</w:t>
                  </w:r>
                </w:p>
                <w:p>
                  <w:pPr>
                    <w:numPr>
                      <w:ilvl w:val="0"/>
                      <w:numId w:val="1"/>
                    </w:numPr>
                    <w:jc w:val="left"/>
                  </w:pPr>
                  <w:r>
                    <w:rPr>
                      <w:sz w:val="24"/>
                    </w:rPr>
                    <w:t>合班上课：两个不同的班级共同上统一节课程</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人工调课</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对排课结果进行调课，支持实时验证调课规则和冲突</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排课结果</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可以查看班级课表、教师课表、总课表、总任课表</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临时调课</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选择查看课表信息，可查看临时调课信息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班级管理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管理添加每个学期的班级</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竞赛训练管理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教练管理技能训练队伍成员</w:t>
                  </w:r>
                </w:p>
                <w:p>
                  <w:pPr>
                    <w:jc w:val="left"/>
                  </w:pPr>
                  <w:r>
                    <w:rPr>
                      <w:sz w:val="24"/>
                    </w:rPr>
                    <w:t>教练管理所属训练队学生的课程成绩</w:t>
                  </w:r>
                </w:p>
                <w:p>
                  <w:pPr>
                    <w:jc w:val="left"/>
                  </w:pPr>
                  <w:r>
                    <w:rPr>
                      <w:sz w:val="24"/>
                    </w:rPr>
                    <w:t>管理竞赛训练荣誉</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教材管理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教材列表</w:t>
                  </w:r>
                </w:p>
              </w:tc>
              <w:tc>
                <w:tcPr>
                  <w:tcW w:type="dxa" w:w="3003"/>
                  <w:tcBorders>
                    <w:top w:val="single" w:color="000000" w:sz="4"/>
                    <w:left w:val="single" w:color="000000" w:sz="4"/>
                    <w:bottom w:val="single" w:color="000000" w:sz="4"/>
                    <w:right w:val="single" w:color="000000" w:sz="4"/>
                  </w:tcBorders>
                  <w:vAlign w:val="top"/>
                </w:tcPr>
                <w:p>
                  <w:pPr>
                    <w:jc w:val="left"/>
                  </w:pPr>
                  <w:r>
                    <w:rPr>
                      <w:sz w:val="24"/>
                    </w:rPr>
                    <w:t>用于申请教材的采购，查看教材申请的详情</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教材审核</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用于审核提交的教材申请，并给予通过的结果</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教材费用数据页</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查看统计所有的教材费用图表</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教师证书管理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教师证书列表</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管理查看教师获奖证书。</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教师证书审核</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审批教师证书</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教师课时统计</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查看教师课时统计，可按部门，个人查看课时，可导出课时</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公开课管理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公开课审核</w:t>
                  </w:r>
                </w:p>
              </w:tc>
              <w:tc>
                <w:tcPr>
                  <w:tcW w:type="dxa" w:w="3003"/>
                  <w:tcBorders>
                    <w:top w:val="single" w:color="000000" w:sz="4"/>
                    <w:left w:val="single" w:color="000000" w:sz="4"/>
                    <w:bottom w:val="single" w:color="000000" w:sz="4"/>
                    <w:right w:val="single" w:color="000000" w:sz="4"/>
                  </w:tcBorders>
                  <w:vAlign w:val="top"/>
                </w:tcPr>
                <w:p>
                  <w:pPr>
                    <w:jc w:val="left"/>
                  </w:pPr>
                  <w:r>
                    <w:rPr>
                      <w:sz w:val="24"/>
                    </w:rPr>
                    <w:t>管理查看审核通过的公开课，可编辑</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公开课列表</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用于公开课的申请，并了解公开课的相关信息</w:t>
                  </w:r>
                  <w:r>
                    <w:rPr>
                      <w:sz w:val="24"/>
                    </w:rPr>
                    <w:t>,添加成功后生成二维码提供给移动端扫描进行公开课统计。</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公开课在线签名</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支持移动端通过扫描二维码在线签到公开课，并统计所在公开课的相关信息。</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师生评价管理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评价设置</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支持设置多个评价指标体系，每个评价指标体系可设置分值、评级</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师生评价</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师生根据生成指标完成评价，系统对评价结果进行核算、统计排名、导出报表</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p>
                <w:p>
                  <w:pPr>
                    <w:jc w:val="center"/>
                  </w:pPr>
                  <w:r>
                    <w:rPr>
                      <w:sz w:val="24"/>
                    </w:rPr>
                    <w:t>德育</w:t>
                  </w:r>
                </w:p>
                <w:p>
                  <w:pPr>
                    <w:jc w:val="center"/>
                  </w:pPr>
                  <w:r>
                    <w:rPr>
                      <w:sz w:val="24"/>
                    </w:rPr>
                    <w:t>管理</w:t>
                  </w: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团委管理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义工服务管理</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管理添加义工服务时登记</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义工数据汇总</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管理查看学生获得的义工时长</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团员管理</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管理添加团员</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班级成绩评比</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查看各个班级成绩评比结果</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学生会</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学生会部门</w:t>
                  </w:r>
                </w:p>
              </w:tc>
              <w:tc>
                <w:tcPr>
                  <w:tcW w:type="dxa" w:w="3003"/>
                  <w:tcBorders>
                    <w:top w:val="single" w:color="000000" w:sz="4"/>
                    <w:left w:val="single" w:color="000000" w:sz="4"/>
                    <w:bottom w:val="single" w:color="000000" w:sz="4"/>
                    <w:right w:val="single" w:color="000000" w:sz="4"/>
                  </w:tcBorders>
                  <w:vAlign w:val="top"/>
                </w:tcPr>
                <w:p>
                  <w:pPr>
                    <w:jc w:val="left"/>
                  </w:pPr>
                  <w:r>
                    <w:rPr>
                      <w:sz w:val="24"/>
                    </w:rPr>
                    <w:t>对学生会进行学生会部门信息的添加管理</w:t>
                  </w:r>
                  <w:r>
                    <w:rPr>
                      <w:sz w:val="24"/>
                    </w:rPr>
                    <w:t>·。</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学生会成员</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添加学生会成员</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健康管理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健康检查登记表</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管理查看所有学生健康登记表信息，可导出健康管理汇总表</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健康每周统计</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查看全校学生健康每周统计图表</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健康每日统计</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查看全校学生每日健康统计信息</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学生德育奖惩管理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德育扣分管理</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管理查看德育扣分情况</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德育加分管理</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管理查看德育加分情况</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奖惩每日统计</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查看每日奖惩情况</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学生德育分数统计</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查看学生德育分统计</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教师健康管理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健康检查登记表</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管理查看教师健康上报汇总</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文明班管理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文明班总评</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根据德育标准、学校教育教学以及管理的总体要求，提供设置评分项目和分值比例，教师通过日常教学进行多维度评价，形成班级总评、学生个人德育总评，实现德育量化管理，按周、月统计班级、个人德育量化分数及排名。</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评比项目</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支持自定义增加、删除文明班的评分项，并设置项目占比，系统根据比例汇总成班级总分后进行各班排名，颁发文明班级。</w:t>
                  </w:r>
                </w:p>
                <w:p>
                  <w:pPr>
                    <w:jc w:val="left"/>
                  </w:pPr>
                  <w:r>
                    <w:rPr>
                      <w:sz w:val="24"/>
                    </w:rPr>
                    <w:t>支持对班级临时奖惩评分操作</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评选统计</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管理评选统计加分、扣分数据</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学生奖励学分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审核添加学生奖惩记录数据</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处分管理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学生处分管理</w:t>
                  </w:r>
                </w:p>
              </w:tc>
              <w:tc>
                <w:tcPr>
                  <w:tcW w:type="dxa" w:w="3003"/>
                  <w:tcBorders>
                    <w:top w:val="single" w:color="000000" w:sz="4"/>
                    <w:left w:val="single" w:color="000000" w:sz="4"/>
                    <w:bottom w:val="single" w:color="000000" w:sz="4"/>
                    <w:right w:val="single" w:color="000000" w:sz="4"/>
                  </w:tcBorders>
                  <w:vAlign w:val="top"/>
                </w:tcPr>
                <w:p>
                  <w:pPr>
                    <w:jc w:val="left"/>
                  </w:pPr>
                  <w:r>
                    <w:rPr>
                      <w:sz w:val="24"/>
                    </w:rPr>
                    <w:t>管理审批学生处分</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学生处分统计查询</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查询学生处分信息</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宿舍管理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宿舍管理</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综合管理学校学生宿舍安排、住宿表现量化评比</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宿舍基础数据</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管理添加宿舍基础数据信息</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宿舍人员管理</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设置学生所在宿舍、床位号等信息</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住宿生请假信息</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支持自动统计学生请假模块数据，协助管理宿舍请假人员</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宿舍值日生</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用于设置住宿值日生</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优秀宿舍</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用于评比优秀宿舍</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学生</w:t>
                  </w:r>
                </w:p>
                <w:p>
                  <w:pPr>
                    <w:jc w:val="center"/>
                  </w:pPr>
                  <w:r>
                    <w:rPr>
                      <w:sz w:val="24"/>
                    </w:rPr>
                    <w:t>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学生管理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用于展示学生数据并管理</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学生数据</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用于统计所以学生数据</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成绩学分查询</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用于查询学生的学分</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学籍查询</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用于查询学生的学籍信息并可以修改一部分的学生信息。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新生采集表统计</w:t>
                  </w:r>
                </w:p>
              </w:tc>
              <w:tc>
                <w:tcPr>
                  <w:tcW w:type="dxa" w:w="4005"/>
                  <w:gridSpan w:val="2"/>
                  <w:tcBorders>
                    <w:top w:val="none" w:color="000000" w:sz="4"/>
                    <w:left w:val="single" w:color="000000" w:sz="4"/>
                    <w:bottom w:val="single" w:color="000000" w:sz="4"/>
                    <w:right w:val="single" w:color="000000" w:sz="4"/>
                  </w:tcBorders>
                  <w:vAlign w:val="top"/>
                </w:tcPr>
                <w:p>
                  <w:pPr>
                    <w:jc w:val="both"/>
                  </w:pPr>
                  <w:r>
                    <w:rPr>
                      <w:sz w:val="24"/>
                    </w:rPr>
                    <w:t>用于收集统计新生数据</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毕业学生去向</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用于收集统计毕业生数据</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p>
                <w:p>
                  <w:pPr>
                    <w:jc w:val="center"/>
                  </w:pPr>
                  <w:r>
                    <w:rPr>
                      <w:sz w:val="24"/>
                    </w:rPr>
                    <w:t>OA系</w:t>
                  </w:r>
                </w:p>
                <w:p>
                  <w:pPr>
                    <w:jc w:val="center"/>
                  </w:pPr>
                  <w:r>
                    <w:rPr>
                      <w:sz w:val="24"/>
                    </w:rPr>
                    <w:t>统</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通讯录</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管理所有人员的必要联系信息</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通知公告</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通知公告管理</w:t>
                  </w:r>
                </w:p>
              </w:tc>
              <w:tc>
                <w:tcPr>
                  <w:tcW w:type="dxa" w:w="3003"/>
                  <w:tcBorders>
                    <w:top w:val="single" w:color="000000" w:sz="4"/>
                    <w:left w:val="single" w:color="000000" w:sz="4"/>
                    <w:bottom w:val="single" w:color="000000" w:sz="4"/>
                    <w:right w:val="single" w:color="000000" w:sz="4"/>
                  </w:tcBorders>
                  <w:vAlign w:val="top"/>
                </w:tcPr>
                <w:p>
                  <w:pPr>
                    <w:jc w:val="left"/>
                  </w:pPr>
                  <w:r>
                    <w:rPr>
                      <w:sz w:val="24"/>
                    </w:rPr>
                    <w:t>管理已经发布的通知公告</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both"/>
                  </w:pPr>
                  <w:r>
                    <w:rPr>
                      <w:sz w:val="24"/>
                    </w:rPr>
                    <w:t>已收公告</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列出推送范围为自己所在的部门或所有人的通知公告</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公文管理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已收公文</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查看已收到的公文列表</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发送公文</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用于发送编写好的公文</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已发公文</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查看已发公文列表</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工作流程</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经办过的工作</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查看收到工作表，可合并发送工作表</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新建工作</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填写工作表信息，发送工作表</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发起的工作</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查看已发工作表</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工作归档</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归档已发布的工作</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工资管理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常规工资项目的设定，包括应发项、扣款项目设定。</w:t>
                  </w:r>
                </w:p>
                <w:p>
                  <w:pPr>
                    <w:jc w:val="left"/>
                  </w:pPr>
                  <w:r>
                    <w:rPr>
                      <w:sz w:val="24"/>
                    </w:rPr>
                    <w:t>支持导入导出数据，批量修改功能。</w:t>
                  </w:r>
                </w:p>
                <w:p>
                  <w:pPr>
                    <w:jc w:val="left"/>
                  </w:pPr>
                  <w:r>
                    <w:rPr>
                      <w:sz w:val="24"/>
                    </w:rPr>
                    <w:t>支持自定义修改工资项目</w:t>
                  </w:r>
                </w:p>
                <w:p>
                  <w:pPr>
                    <w:jc w:val="left"/>
                  </w:pPr>
                  <w:r>
                    <w:rPr>
                      <w:sz w:val="24"/>
                    </w:rPr>
                    <w:t>支持通过微信向教职工推送工资条</w:t>
                  </w:r>
                </w:p>
                <w:p>
                  <w:pPr>
                    <w:jc w:val="left"/>
                  </w:pPr>
                  <w:r>
                    <w:rPr>
                      <w:sz w:val="24"/>
                    </w:rPr>
                    <w:t>▲支持个人工资界面水印显示：投标时提供软件功能截图证明</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p>
                <w:p>
                  <w:pPr>
                    <w:jc w:val="center"/>
                  </w:pPr>
                  <w:r>
                    <w:rPr>
                      <w:sz w:val="24"/>
                    </w:rPr>
                    <w:t>审批</w:t>
                  </w:r>
                </w:p>
                <w:p>
                  <w:pPr>
                    <w:jc w:val="center"/>
                  </w:pPr>
                  <w:r>
                    <w:rPr>
                      <w:sz w:val="24"/>
                    </w:rPr>
                    <w:t>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审批流程</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提供可通过自定义表单和流程设计，实现各级部门各式各样的事务线上审批实现移动化、无纸化办公。教师线上发起审批，管理人员线上签字审批，使用场景例如物资采购、请假、出差、报销、物品领用等</w:t>
                  </w:r>
                  <w:r>
                    <w:rPr>
                      <w:sz w:val="24"/>
                    </w:rPr>
                    <w:t>。</w:t>
                  </w:r>
                </w:p>
                <w:p>
                  <w:pPr>
                    <w:jc w:val="left"/>
                  </w:pPr>
                  <w:r>
                    <w:rPr>
                      <w:sz w:val="24"/>
                    </w:rPr>
                    <w:t>支持自定义各类审批项目</w:t>
                  </w:r>
                </w:p>
                <w:p>
                  <w:pPr>
                    <w:jc w:val="left"/>
                  </w:pPr>
                  <w:r>
                    <w:rPr>
                      <w:sz w:val="24"/>
                    </w:rPr>
                    <w:t>支持自定义设计审批项目所需表单，自定义表单项目包括但不限于与以下类型：部门字段、文本输入字段、单选框字段、多选框字段、校车选择字段、附件、嵌套表格</w:t>
                  </w:r>
                </w:p>
                <w:p>
                  <w:pPr>
                    <w:jc w:val="left"/>
                  </w:pPr>
                  <w:r>
                    <w:rPr>
                      <w:sz w:val="24"/>
                    </w:rPr>
                    <w:t>支持自定义设置审批流转的步骤，按照学校管理制度进行审批流程的设置，可做到根据组织架构、用户角色逐级设定审批的角色，同时可以根据表单输入内容执行对应条件流程。</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审批经费列表</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查看审批过程中产生的关于经费图表</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审批归档</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归档所有审批</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审批数据统计</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请假统计</w:t>
                  </w:r>
                </w:p>
              </w:tc>
              <w:tc>
                <w:tcPr>
                  <w:tcW w:type="dxa" w:w="3003"/>
                  <w:tcBorders>
                    <w:top w:val="single" w:color="000000" w:sz="4"/>
                    <w:left w:val="single" w:color="000000" w:sz="4"/>
                    <w:bottom w:val="single" w:color="000000" w:sz="4"/>
                    <w:right w:val="single" w:color="000000" w:sz="4"/>
                  </w:tcBorders>
                  <w:vAlign w:val="top"/>
                </w:tcPr>
                <w:p>
                  <w:pPr>
                    <w:jc w:val="left"/>
                  </w:pPr>
                  <w:r>
                    <w:rPr>
                      <w:sz w:val="24"/>
                    </w:rPr>
                    <w:t>管理请假审批统计数据</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加班统计</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管理加班审批统计数据</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教学</w:t>
                  </w:r>
                </w:p>
                <w:p>
                  <w:pPr>
                    <w:jc w:val="center"/>
                  </w:pPr>
                  <w:r>
                    <w:rPr>
                      <w:sz w:val="24"/>
                    </w:rPr>
                    <w:t>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教学日志</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w:t>
                  </w:r>
                  <w:r>
                    <w:rPr>
                      <w:sz w:val="24"/>
                    </w:rPr>
                    <w:t>查看未交日志名单、学生缺勤名单</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教室日志</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w:t>
                  </w:r>
                  <w:r>
                    <w:rPr>
                      <w:sz w:val="24"/>
                    </w:rPr>
                    <w:t>查看教室日志、可批量导出教室日志</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教师作业列表</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w:t>
                  </w:r>
                  <w:r>
                    <w:rPr>
                      <w:sz w:val="24"/>
                    </w:rPr>
                    <w:t>查看教师布置作业情况，可快速查看未布置作业教师名单</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学生机房登记表</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管理查看学生机房课签到情况</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科部</w:t>
                  </w:r>
                </w:p>
                <w:p>
                  <w:pPr>
                    <w:jc w:val="center"/>
                  </w:pPr>
                  <w:r>
                    <w:rPr>
                      <w:sz w:val="24"/>
                    </w:rPr>
                    <w:t>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部门管理主页</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查看个人部门信息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教师考勤</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w:t>
                  </w:r>
                  <w:r>
                    <w:rPr>
                      <w:sz w:val="24"/>
                    </w:rPr>
                    <w:t>部门考勤图表</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专业管理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添加专业部信息管理</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师资管理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管理所在部门老师信息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专业部课表</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查看专业部课表信息</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技能训练队</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训练队管理</w:t>
                  </w:r>
                </w:p>
              </w:tc>
              <w:tc>
                <w:tcPr>
                  <w:tcW w:type="dxa" w:w="3003"/>
                  <w:tcBorders>
                    <w:top w:val="single" w:color="000000" w:sz="4"/>
                    <w:left w:val="single" w:color="000000" w:sz="4"/>
                    <w:bottom w:val="single" w:color="000000" w:sz="4"/>
                    <w:right w:val="single" w:color="000000" w:sz="4"/>
                  </w:tcBorders>
                  <w:vAlign w:val="top"/>
                </w:tcPr>
                <w:p>
                  <w:pPr>
                    <w:jc w:val="left"/>
                  </w:pPr>
                  <w:r>
                    <w:rPr>
                      <w:sz w:val="24"/>
                    </w:rPr>
                    <w:t>管理该专业部下的训练队</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队员成绩</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管理查看训练队队员成绩</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公开课管理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公开课审核</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管理查看审核通过的公开课，可编辑</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公开课列表</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用于公开课的申请，并了解公开课的相关信息</w:t>
                  </w:r>
                  <w:r>
                    <w:rPr>
                      <w:sz w:val="24"/>
                    </w:rPr>
                    <w:t>,添加成功后生成二维码提供给移动端扫描进行公开课统计。</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公开课在线签名</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支持移动端通过扫描二维码在线签到公开课，并统计所在公开课的相关信息。</w:t>
                  </w:r>
                </w:p>
              </w:tc>
            </w:tr>
            <w:tr>
              <w:tc>
                <w:tcPr>
                  <w:tcW w:type="dxa" w:w="566"/>
                  <w:vMerge/>
                  <w:tcBorders>
                    <w:top w:val="none" w:color="000000" w:sz="4"/>
                    <w:left w:val="single" w:color="000000" w:sz="4"/>
                    <w:bottom w:val="single" w:color="000000" w:sz="4"/>
                    <w:right w:val="single" w:color="000000" w:sz="4"/>
                  </w:tcBorders>
                </w:tcPr>
                <w:p/>
              </w:tc>
              <w:tc>
                <w:tcPr>
                  <w:tcW w:type="dxa" w:w="1026"/>
                  <w:vMerge w:val="restart"/>
                  <w:tcBorders>
                    <w:top w:val="none" w:color="000000" w:sz="4"/>
                    <w:left w:val="single" w:color="000000" w:sz="4"/>
                    <w:bottom w:val="single" w:color="000000" w:sz="4"/>
                    <w:right w:val="single" w:color="000000" w:sz="4"/>
                  </w:tcBorders>
                  <w:vAlign w:val="top"/>
                </w:tcPr>
                <w:p>
                  <w:pPr>
                    <w:jc w:val="center"/>
                  </w:pPr>
                  <w:r>
                    <w:rPr>
                      <w:sz w:val="24"/>
                    </w:rPr>
                    <w:t>课程管理</w:t>
                  </w:r>
                </w:p>
              </w:tc>
              <w:tc>
                <w:tcPr>
                  <w:tcW w:type="dxa" w:w="1002"/>
                  <w:tcBorders>
                    <w:top w:val="none" w:color="000000" w:sz="4"/>
                    <w:left w:val="single" w:color="000000" w:sz="4"/>
                    <w:bottom w:val="single" w:color="000000" w:sz="4"/>
                    <w:right w:val="single" w:color="000000" w:sz="4"/>
                  </w:tcBorders>
                  <w:vAlign w:val="top"/>
                </w:tcPr>
                <w:p>
                  <w:pPr>
                    <w:jc w:val="left"/>
                  </w:pPr>
                  <w:r>
                    <w:rPr>
                      <w:sz w:val="24"/>
                    </w:rPr>
                    <w:t>课程设置</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添加学生课程</w:t>
                  </w:r>
                </w:p>
              </w:tc>
            </w:tr>
            <w:tr>
              <w:tc>
                <w:tcPr>
                  <w:tcW w:type="dxa" w:w="566"/>
                  <w:vMerge/>
                  <w:tcBorders>
                    <w:top w:val="none" w:color="000000" w:sz="4"/>
                    <w:left w:val="single" w:color="000000" w:sz="4"/>
                    <w:bottom w:val="single" w:color="000000" w:sz="4"/>
                    <w:right w:val="single" w:color="000000" w:sz="4"/>
                  </w:tcBorders>
                </w:tcPr>
                <w:p/>
              </w:tc>
              <w:tc>
                <w:tcPr>
                  <w:tcW w:type="dxa" w:w="1026"/>
                  <w:vMerge/>
                  <w:tcBorders>
                    <w:top w:val="none" w:color="000000" w:sz="4"/>
                    <w:left w:val="single" w:color="000000" w:sz="4"/>
                    <w:bottom w:val="single" w:color="000000" w:sz="4"/>
                    <w:right w:val="single" w:color="000000" w:sz="4"/>
                  </w:tcBorders>
                </w:tcPr>
                <w:p/>
              </w:tc>
              <w:tc>
                <w:tcPr>
                  <w:tcW w:type="dxa" w:w="1002"/>
                  <w:tcBorders>
                    <w:top w:val="none" w:color="000000" w:sz="4"/>
                    <w:left w:val="single" w:color="000000" w:sz="4"/>
                    <w:bottom w:val="single" w:color="000000" w:sz="4"/>
                    <w:right w:val="single" w:color="000000" w:sz="4"/>
                  </w:tcBorders>
                  <w:vAlign w:val="top"/>
                </w:tcPr>
                <w:p>
                  <w:pPr>
                    <w:jc w:val="left"/>
                  </w:pPr>
                  <w:r>
                    <w:rPr>
                      <w:sz w:val="24"/>
                    </w:rPr>
                    <w:t>班级课程管理</w:t>
                  </w:r>
                </w:p>
              </w:tc>
              <w:tc>
                <w:tcPr>
                  <w:tcW w:type="dxa" w:w="3003"/>
                  <w:tcBorders>
                    <w:top w:val="none" w:color="000000" w:sz="4"/>
                    <w:left w:val="single" w:color="000000" w:sz="4"/>
                    <w:bottom w:val="single" w:color="000000" w:sz="4"/>
                    <w:right w:val="single" w:color="000000" w:sz="4"/>
                  </w:tcBorders>
                  <w:vAlign w:val="top"/>
                </w:tcPr>
                <w:p>
                  <w:pPr>
                    <w:jc w:val="left"/>
                  </w:pPr>
                  <w:r>
                    <w:rPr>
                      <w:sz w:val="24"/>
                    </w:rPr>
                    <w:t>管理班级课程</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专业部荣誉</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管理查看专业部荣誉</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组织</w:t>
                  </w:r>
                </w:p>
                <w:p>
                  <w:pPr>
                    <w:jc w:val="center"/>
                  </w:pPr>
                  <w:r>
                    <w:rPr>
                      <w:sz w:val="24"/>
                    </w:rPr>
                    <w:t>架构</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校级管理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用于查询校级领导信息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组织架构图</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用于管理查看校级领导电话和所在办公室和领导的上下级管理</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行政管理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用于管理查看各个行政负责人、职务、成员信息、人数和简介</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专业部管理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用于管理查看各个专业负责人、职务、成员信息、人数和简介</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科组管理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用于管理查看各个科目负责人、职务、成员信息、人数和简介</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级组管理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用于管理查看各个年级负责人、职务、班主任信息、人数和是否毕业。添加级组：添加级组的各种信息。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专业管理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用于管理查看各种专业和专业负责人、管理部门、包含班级、班级数量、学生人数。添加专业：添加专业的各种信息。</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p>
                <w:p>
                  <w:pPr>
                    <w:jc w:val="center"/>
                  </w:pPr>
                  <w:r>
                    <w:rPr>
                      <w:sz w:val="24"/>
                    </w:rPr>
                    <w:t>后勤</w:t>
                  </w:r>
                </w:p>
                <w:p>
                  <w:pPr>
                    <w:jc w:val="center"/>
                  </w:pPr>
                  <w:r>
                    <w:rPr>
                      <w:sz w:val="24"/>
                    </w:rPr>
                    <w:t>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车牌管理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管理教师车牌信息，可导出车牌信息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维修申请</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用于申请维修</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指派入员</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可通过页面查看申请人发送的维修申请信息，点击指派人员可选择维修人员进行维修处理。</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维修列表</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维修人员收到指派的维修订单后，可在本页面查看信息，完成维修后可选择处理结果进行提交。</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已处理订单</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查看已完成维修的订单，可点击详情进行查看</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会议</w:t>
                  </w:r>
                </w:p>
                <w:p>
                  <w:pPr>
                    <w:jc w:val="center"/>
                  </w:pPr>
                  <w:r>
                    <w:rPr>
                      <w:sz w:val="24"/>
                    </w:rPr>
                    <w:t>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会议申请</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主要用于提供会议申请功能，并提交审核，用于各大小的会议，可自定义会议，自行选择开会位置并直接通过审核。</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会议审核</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审核功能：</w:t>
                  </w:r>
                  <w:r>
                    <w:rPr>
                      <w:sz w:val="24"/>
                    </w:rPr>
                    <w:t>审核提交会议申请的详情，并给予审核的结果，绿色按钮为审核通过，红色按钮为审核不通过，审核意见选填。</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会议室设置</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添加会议室，查看、编辑、删除会议室</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会议室占用情况</w:t>
                  </w:r>
                </w:p>
              </w:tc>
              <w:tc>
                <w:tcPr>
                  <w:tcW w:type="dxa" w:w="4005"/>
                  <w:gridSpan w:val="2"/>
                  <w:tcBorders>
                    <w:top w:val="none" w:color="000000" w:sz="4"/>
                    <w:left w:val="single" w:color="000000" w:sz="4"/>
                    <w:bottom w:val="single" w:color="000000" w:sz="4"/>
                    <w:right w:val="single" w:color="000000" w:sz="4"/>
                  </w:tcBorders>
                  <w:vAlign w:val="top"/>
                </w:tcPr>
                <w:p>
                  <w:pPr>
                    <w:jc w:val="both"/>
                  </w:pPr>
                  <w:r>
                    <w:rPr>
                      <w:sz w:val="24"/>
                    </w:rPr>
                    <w:t>按时间查看会议室占用情况</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会议室使用统计</w:t>
                  </w:r>
                </w:p>
              </w:tc>
              <w:tc>
                <w:tcPr>
                  <w:tcW w:type="dxa" w:w="4005"/>
                  <w:gridSpan w:val="2"/>
                  <w:tcBorders>
                    <w:top w:val="none" w:color="000000" w:sz="4"/>
                    <w:left w:val="single" w:color="000000" w:sz="4"/>
                    <w:bottom w:val="single" w:color="000000" w:sz="4"/>
                    <w:right w:val="single" w:color="000000" w:sz="4"/>
                  </w:tcBorders>
                  <w:vAlign w:val="top"/>
                </w:tcPr>
                <w:p>
                  <w:pPr>
                    <w:jc w:val="both"/>
                  </w:pPr>
                  <w:r>
                    <w:rPr>
                      <w:sz w:val="24"/>
                    </w:rPr>
                    <w:t>查看会议室使用统计图表</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社团</w:t>
                  </w:r>
                </w:p>
                <w:p>
                  <w:pPr>
                    <w:jc w:val="center"/>
                  </w:pPr>
                  <w:r>
                    <w:rPr>
                      <w:sz w:val="24"/>
                    </w:rPr>
                    <w:t>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社团管理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管理、发布学校开展的社团，学生可以申请加入社团，由社团管理教师审批后进入社团</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社团成员签到表</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管理个人社团成员上课签到情况</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社团成员审核</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用于审核学生发起的社团成员申请</w:t>
                  </w:r>
                </w:p>
              </w:tc>
            </w:tr>
            <w:tr>
              <w:tc>
                <w:tcPr>
                  <w:tcW w:type="dxa" w:w="566"/>
                  <w:tcBorders>
                    <w:top w:val="none" w:color="000000" w:sz="4"/>
                    <w:left w:val="single" w:color="000000" w:sz="4"/>
                    <w:bottom w:val="single" w:color="000000" w:sz="4"/>
                    <w:right w:val="single" w:color="000000" w:sz="4"/>
                  </w:tcBorders>
                  <w:vAlign w:val="top"/>
                </w:tcPr>
                <w:p>
                  <w:pPr>
                    <w:jc w:val="center"/>
                  </w:pPr>
                  <w:r>
                    <w:rPr>
                      <w:sz w:val="24"/>
                    </w:rPr>
                    <w:t>大数据展示</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大数据展示</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查看全校大数据的综合展示</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家校</w:t>
                  </w:r>
                </w:p>
                <w:p>
                  <w:pPr>
                    <w:jc w:val="center"/>
                  </w:pPr>
                  <w:r>
                    <w:rPr>
                      <w:sz w:val="24"/>
                    </w:rPr>
                    <w:t>互通</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学生成绩</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家长查看学生在校成绩，接收推送学生在校成绩消息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学生德育</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家长查看学生在校综合德育表现情况，包括日常表现、宿舍表现等，接收推送学生在校表现消息</w:t>
                  </w:r>
                </w:p>
              </w:tc>
            </w:tr>
            <w:tr>
              <w:tc>
                <w:tcPr>
                  <w:tcW w:type="dxa" w:w="5597"/>
                  <w:gridSpan w:val="4"/>
                  <w:tcBorders>
                    <w:top w:val="none" w:color="000000" w:sz="4"/>
                    <w:left w:val="single" w:color="000000" w:sz="4"/>
                    <w:bottom w:val="single" w:color="000000" w:sz="4"/>
                    <w:right w:val="single" w:color="000000" w:sz="4"/>
                  </w:tcBorders>
                  <w:vAlign w:val="top"/>
                </w:tcPr>
                <w:p>
                  <w:pPr>
                    <w:jc w:val="center"/>
                  </w:pPr>
                  <w:r>
                    <w:rPr>
                      <w:sz w:val="24"/>
                    </w:rPr>
                    <w:t>顶岗实习系统</w:t>
                  </w:r>
                </w:p>
              </w:tc>
            </w:tr>
            <w:tr>
              <w:tc>
                <w:tcPr>
                  <w:tcW w:type="dxa" w:w="1592"/>
                  <w:gridSpan w:val="2"/>
                  <w:tcBorders>
                    <w:top w:val="none" w:color="000000" w:sz="4"/>
                    <w:left w:val="single" w:color="000000" w:sz="4"/>
                    <w:bottom w:val="single" w:color="000000" w:sz="4"/>
                    <w:right w:val="single" w:color="000000" w:sz="4"/>
                  </w:tcBorders>
                  <w:vAlign w:val="top"/>
                </w:tcPr>
                <w:p>
                  <w:pPr>
                    <w:jc w:val="center"/>
                  </w:pPr>
                  <w:r>
                    <w:rPr>
                      <w:sz w:val="24"/>
                    </w:rPr>
                    <w:t>软件功能项目</w:t>
                  </w:r>
                </w:p>
              </w:tc>
              <w:tc>
                <w:tcPr>
                  <w:tcW w:type="dxa" w:w="4005"/>
                  <w:gridSpan w:val="2"/>
                  <w:tcBorders>
                    <w:top w:val="single" w:color="000000" w:sz="4"/>
                    <w:left w:val="single" w:color="000000" w:sz="4"/>
                    <w:bottom w:val="single" w:color="000000" w:sz="4"/>
                    <w:right w:val="single" w:color="000000" w:sz="4"/>
                  </w:tcBorders>
                  <w:vAlign w:val="top"/>
                </w:tcPr>
                <w:p>
                  <w:pPr>
                    <w:jc w:val="left"/>
                  </w:pPr>
                  <w:r>
                    <w:rPr>
                      <w:sz w:val="24"/>
                    </w:rPr>
                    <w:t>说明</w:t>
                  </w:r>
                </w:p>
              </w:tc>
            </w:tr>
            <w:tr>
              <w:tc>
                <w:tcPr>
                  <w:tcW w:type="dxa" w:w="566"/>
                  <w:tcBorders>
                    <w:top w:val="none" w:color="000000" w:sz="4"/>
                    <w:left w:val="single" w:color="000000" w:sz="4"/>
                    <w:bottom w:val="single" w:color="000000" w:sz="4"/>
                    <w:right w:val="single" w:color="000000" w:sz="4"/>
                  </w:tcBorders>
                  <w:vAlign w:val="top"/>
                </w:tcPr>
                <w:p>
                  <w:pPr>
                    <w:jc w:val="center"/>
                  </w:pPr>
                  <w:r>
                    <w:rPr>
                      <w:sz w:val="24"/>
                    </w:rPr>
                    <w:t>实习概况</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实习概况</w:t>
                  </w:r>
                </w:p>
              </w:tc>
              <w:tc>
                <w:tcPr>
                  <w:tcW w:type="dxa" w:w="4005"/>
                  <w:gridSpan w:val="2"/>
                  <w:tcBorders>
                    <w:top w:val="single" w:color="000000" w:sz="4"/>
                    <w:left w:val="single" w:color="000000" w:sz="4"/>
                    <w:bottom w:val="single" w:color="000000" w:sz="4"/>
                    <w:right w:val="single" w:color="000000" w:sz="4"/>
                  </w:tcBorders>
                  <w:vAlign w:val="top"/>
                </w:tcPr>
                <w:p>
                  <w:pPr>
                    <w:jc w:val="left"/>
                  </w:pPr>
                  <w:r>
                    <w:rPr>
                      <w:sz w:val="24"/>
                    </w:rPr>
                    <w:t>查看全部学生的学生整体情况、实习情况、数据统计、实习公司区域分布、实习数据、当天签到数据</w:t>
                  </w:r>
                </w:p>
              </w:tc>
            </w:tr>
            <w:tr>
              <w:tc>
                <w:tcPr>
                  <w:tcW w:type="dxa" w:w="566"/>
                  <w:tcBorders>
                    <w:top w:val="none" w:color="000000" w:sz="4"/>
                    <w:left w:val="single" w:color="000000" w:sz="4"/>
                    <w:bottom w:val="single" w:color="000000" w:sz="4"/>
                    <w:right w:val="single" w:color="000000" w:sz="4"/>
                  </w:tcBorders>
                  <w:vAlign w:val="top"/>
                </w:tcPr>
                <w:p>
                  <w:pPr>
                    <w:jc w:val="center"/>
                  </w:pPr>
                  <w:r>
                    <w:rPr>
                      <w:sz w:val="24"/>
                    </w:rPr>
                    <w:t>公告管理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公告管理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管理，发布您所需要的公告</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系统设置</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菜单管理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用于设置系统菜单</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角色管理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管理登录系统的人员账号使用</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系统参数</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设置移动端提交数据的基本应用参数</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组织管理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用于管理系统的组织架构</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操作日志</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查看所有用户登陆系统的操作记录</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评语设置</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用于实习评价的评语快速选择使用</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用户管理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学生列表</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管理所有学生的实习数据情况</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教师列表</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管理所有班主任、教师、级长的数据情况</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企业导师</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用于管理企业指定人员教师信息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用户角色</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用于绑定用户角色使用，绑定的用户角色用于角色管理绑定权限使用</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班级管理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管理所有班级的学生信息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用户企业</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用于查看企业学生绑定情况</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企业管理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企业职位</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管理企业职务招聘需求详情</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企业管理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用于管理查看实习企业的详细信息</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实 习 ˇ记 录</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日报统计</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查看所有学生日报的提交状况</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日报审批</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审批所有学生的日报提交</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周报统计</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查看周报提交统计情况</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周报审批</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审批所有学生的周报提交</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月报统计</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查看月报提交统计情况</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月报审批</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审批所有学生的月报提交</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实习总结管理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查看审批学生的实习总结提交情况</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学生统计数据</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用于统计所有学生的实习提交状况数据</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实习生管理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班级实习生</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管理本班级的实习学生信息</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实习数据汇总</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用于查看学生实习数据汇总情况</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实习资料管理</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用于管理学生提交的实习资料</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签到管理</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学生签到</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管理查看查看本班级提交的签到信息，支持学生通过移动端进行实时定位签到</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签到预警</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▲支持自动比对学生定位与企业定位，智能计算偏离距离并预警不在企业范围的学生</w:t>
                  </w:r>
                  <w:r>
                    <w:rPr>
                      <w:sz w:val="24"/>
                    </w:rPr>
                    <w:t>：投标时提供软件功能截图证明</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签到统计</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查看全部学生签到统计情况统计数据</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实习审批</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实习审批</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管理审批学生的实习岗位申请</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请假审批</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管理审批学生实习期间请假数据</w:t>
                  </w:r>
                </w:p>
              </w:tc>
            </w:tr>
            <w:tr>
              <w:tc>
                <w:tcPr>
                  <w:tcW w:type="dxa" w:w="566"/>
                  <w:vMerge w:val="restart"/>
                  <w:tcBorders>
                    <w:top w:val="none" w:color="000000" w:sz="4"/>
                    <w:left w:val="single" w:color="000000" w:sz="4"/>
                    <w:bottom w:val="single" w:color="000000" w:sz="4"/>
                    <w:right w:val="single" w:color="000000" w:sz="4"/>
                  </w:tcBorders>
                  <w:vAlign w:val="top"/>
                </w:tcPr>
                <w:p>
                  <w:pPr>
                    <w:jc w:val="center"/>
                  </w:pPr>
                  <w:r>
                    <w:rPr>
                      <w:sz w:val="24"/>
                    </w:rPr>
                    <w:t>教师外勤</w:t>
                  </w:r>
                </w:p>
              </w:tc>
              <w:tc>
                <w:tcPr>
                  <w:tcW w:type="dxa" w:w="1026"/>
                  <w:tcBorders>
                    <w:top w:val="none" w:color="000000" w:sz="4"/>
                    <w:left w:val="single" w:color="000000" w:sz="4"/>
                    <w:bottom w:val="single" w:color="000000" w:sz="4"/>
                    <w:right w:val="single" w:color="000000" w:sz="4"/>
                  </w:tcBorders>
                  <w:vAlign w:val="top"/>
                </w:tcPr>
                <w:p>
                  <w:pPr>
                    <w:jc w:val="center"/>
                  </w:pPr>
                  <w:r>
                    <w:rPr>
                      <w:sz w:val="24"/>
                    </w:rPr>
                    <w:t>教师外勤列表</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用于教师外勤去查看学生的的实习状况统计</w:t>
                  </w:r>
                </w:p>
              </w:tc>
            </w:tr>
            <w:tr>
              <w:tc>
                <w:tcPr>
                  <w:tcW w:type="dxa" w:w="566"/>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vAlign w:val="top"/>
                </w:tcPr>
                <w:p>
                  <w:pPr>
                    <w:jc w:val="center"/>
                  </w:pPr>
                  <w:r>
                    <w:rPr>
                      <w:sz w:val="24"/>
                    </w:rPr>
                    <w:t>外勤数据统计</w:t>
                  </w:r>
                </w:p>
              </w:tc>
              <w:tc>
                <w:tcPr>
                  <w:tcW w:type="dxa" w:w="4005"/>
                  <w:gridSpan w:val="2"/>
                  <w:tcBorders>
                    <w:top w:val="none" w:color="000000" w:sz="4"/>
                    <w:left w:val="single" w:color="000000" w:sz="4"/>
                    <w:bottom w:val="single" w:color="000000" w:sz="4"/>
                    <w:right w:val="single" w:color="000000" w:sz="4"/>
                  </w:tcBorders>
                  <w:vAlign w:val="top"/>
                </w:tcPr>
                <w:p>
                  <w:pPr>
                    <w:jc w:val="left"/>
                  </w:pPr>
                  <w:r>
                    <w:rPr>
                      <w:sz w:val="24"/>
                    </w:rPr>
                    <w:t>按照班级查看教师外勤学生数据情况</w:t>
                  </w:r>
                </w:p>
              </w:tc>
            </w:tr>
          </w:tbl>
        </w:tc>
      </w:tr>
      <w:tr>
        <w:tc>
          <w:tcPr>
            <w:tcW w:type="dxa" w:w="2076"/>
          </w:tcPr>
          <w:p/>
        </w:tc>
        <w:tc>
          <w:tcPr>
            <w:tcW w:type="dxa" w:w="415"/>
          </w:tcPr>
          <w:p>
            <w:r>
              <w:rPr/>
              <w:t>2</w:t>
            </w:r>
          </w:p>
        </w:tc>
        <w:tc>
          <w:tcPr>
            <w:tcW w:type="dxa" w:w="5814"/>
          </w:tcPr>
          <w:p>
            <w:r>
              <w:rPr>
                <w:b/>
                <w:sz w:val="24"/>
              </w:rPr>
              <w:t>附件</w:t>
            </w:r>
            <w:r>
              <w:rPr>
                <w:b/>
                <w:sz w:val="24"/>
              </w:rPr>
              <w:t>2 ：86英寸智慧黑板</w:t>
            </w:r>
          </w:p>
          <w:p>
            <w:pPr>
              <w:jc w:val="left"/>
            </w:pPr>
            <w:r>
              <w:rPr>
                <w:b/>
                <w:sz w:val="24"/>
              </w:rPr>
              <w:t>一、整体外观：</w:t>
            </w:r>
          </w:p>
          <w:p>
            <w:pPr>
              <w:ind w:firstLine="480"/>
              <w:jc w:val="both"/>
            </w:pPr>
            <w:r>
              <w:rPr>
                <w:sz w:val="24"/>
              </w:rPr>
              <w:t>1.整机采用三拼接平面一体化设计，无推拉式结构，外部无任何可见内部功能模块连接线。主副屏过渡平滑并在同一平面，中间无单独边框阻隔。整机尺寸：宽度大于等于4200mm，高度大于等于1200mm。</w:t>
            </w:r>
          </w:p>
          <w:p>
            <w:pPr>
              <w:ind w:firstLine="480"/>
              <w:jc w:val="both"/>
            </w:pPr>
            <w:r>
              <w:rPr>
                <w:sz w:val="24"/>
              </w:rPr>
              <w:t>2.整机屏幕采用86英寸 UHD超高清LED 液晶屏，显示比例16:9，屏幕图像分辨率≥3840*2160，具备防眩光效果。</w:t>
            </w:r>
          </w:p>
          <w:p>
            <w:pPr>
              <w:ind w:firstLine="480"/>
              <w:jc w:val="both"/>
            </w:pPr>
            <w:r>
              <w:rPr>
                <w:sz w:val="24"/>
              </w:rPr>
              <w:t>3.整机主屏支持普通粉笔直接书写，两侧副屏可支持多种媒介：普通粉笔、液体粉笔、成膜笔进行板书书写。</w:t>
            </w:r>
          </w:p>
          <w:p>
            <w:pPr>
              <w:ind w:firstLine="480"/>
              <w:jc w:val="both"/>
            </w:pPr>
            <w:r>
              <w:rPr>
                <w:sz w:val="24"/>
              </w:rPr>
              <w:t>4.整机采用全金属外壳设计，有效屏蔽内部电路器件辐射；防潮耐盐雾蚀锈，钢化玻璃表面硬度≥9H，适应多种教学环境。</w:t>
            </w:r>
          </w:p>
          <w:p>
            <w:pPr>
              <w:ind w:firstLine="480"/>
              <w:jc w:val="both"/>
            </w:pPr>
            <w:r>
              <w:rPr>
                <w:sz w:val="24"/>
              </w:rPr>
              <w:t>5.▲整体采用全贴合设计，屏幕保护玻璃与显示液晶屏组件，在结构上通过光学胶完全贴合在一起，中间贴合层无空气介质。</w:t>
            </w:r>
            <w:r>
              <w:rPr>
                <w:b/>
                <w:sz w:val="24"/>
              </w:rPr>
              <w:t>（须提供具有</w:t>
            </w:r>
            <w:r>
              <w:rPr>
                <w:b/>
                <w:sz w:val="24"/>
              </w:rPr>
              <w:t>CNAS或CMA有效认证范围内的国家级权威第三方检测机构出具的功能检测报告复印件，要求内容能体现满足上述参数要求）。</w:t>
            </w:r>
          </w:p>
          <w:p>
            <w:pPr>
              <w:ind w:firstLine="480"/>
              <w:jc w:val="both"/>
            </w:pPr>
            <w:r>
              <w:rPr>
                <w:sz w:val="24"/>
              </w:rPr>
              <w:t>6.采用电容触控技术，支持Windows系统中进行20点或以上触控，支持在Android系统中进行10点或以上触控。</w:t>
            </w:r>
          </w:p>
          <w:p>
            <w:pPr>
              <w:ind w:firstLine="480"/>
              <w:jc w:val="both"/>
            </w:pPr>
            <w:r>
              <w:rPr>
                <w:sz w:val="24"/>
              </w:rPr>
              <w:t>7.▲整机具备至少6个前置按键，支持自定义前置“设置"按键，通过自定义设置实现前置面板功能按键一键启用任一全局小工具：批注、截屏、计时、降半屏、放大镜、倒数日、日历；快捷开关：节能模式、纸质护眼模式、经典护眼模式、自动亮度模式。</w:t>
            </w:r>
            <w:r>
              <w:rPr>
                <w:b/>
                <w:sz w:val="24"/>
              </w:rPr>
              <w:t>（须提供具有</w:t>
            </w:r>
            <w:r>
              <w:rPr>
                <w:b/>
                <w:sz w:val="24"/>
              </w:rPr>
              <w:t>CNAS或CMA有效认证范围内的国家级权威第三方检测机构出具的功能检测报告复印件，要求内容能体现满足上述参数要求）。</w:t>
            </w:r>
          </w:p>
          <w:p>
            <w:pPr>
              <w:jc w:val="left"/>
            </w:pPr>
            <w:r>
              <w:rPr>
                <w:b/>
                <w:sz w:val="24"/>
              </w:rPr>
              <w:t>二、护眼要求：</w:t>
            </w:r>
          </w:p>
          <w:p>
            <w:pPr>
              <w:ind w:firstLine="480"/>
              <w:jc w:val="both"/>
            </w:pPr>
            <w:r>
              <w:rPr>
                <w:sz w:val="24"/>
              </w:rPr>
              <w:t>1.整机采用硬件低蓝光背光技术，在源头减少有害蓝光波段能量，有效降低学生用眼疲劳；整机能感应并自动调节屏幕亮度来达到在不同光照环境下的不同亮度显示效果。此功能可自行开启或关闭。</w:t>
            </w:r>
          </w:p>
          <w:p>
            <w:pPr>
              <w:ind w:firstLine="480"/>
              <w:jc w:val="both"/>
            </w:pPr>
            <w:r>
              <w:rPr>
                <w:sz w:val="24"/>
              </w:rPr>
              <w:t>2.支持经典护眼模式，可通过前置面板物理功能按键一键启用经典护眼模式。</w:t>
            </w:r>
          </w:p>
          <w:p>
            <w:pPr>
              <w:ind w:firstLine="480"/>
              <w:jc w:val="both"/>
            </w:pPr>
            <w:r>
              <w:rPr>
                <w:sz w:val="24"/>
              </w:rPr>
              <w:t>3.▲整机通过由中国标准化研究院制定的视觉舒适度VICO体系认证，并达到视觉舒适度A +级或以上标准。</w:t>
            </w:r>
            <w:r>
              <w:rPr>
                <w:b/>
                <w:sz w:val="24"/>
              </w:rPr>
              <w:t>（须提供中国标准化研究院或其他国家级社会公益类标准化科研机构出具的检测结果复印件并加盖厂家公章）。</w:t>
            </w:r>
          </w:p>
          <w:p>
            <w:pPr>
              <w:ind w:firstLine="480"/>
              <w:jc w:val="both"/>
            </w:pPr>
            <w:r>
              <w:rPr>
                <w:sz w:val="24"/>
              </w:rPr>
              <w:t>4.整机支持色彩空间可选，包含标准模式和sRGB模式，在sRGB模式下可做到高色准△E≤1.5。</w:t>
            </w:r>
            <w:r>
              <w:rPr>
                <w:b/>
                <w:sz w:val="24"/>
              </w:rPr>
              <w:t>（须提供具有</w:t>
            </w:r>
            <w:r>
              <w:rPr>
                <w:b/>
                <w:sz w:val="24"/>
              </w:rPr>
              <w:t>CNAS或CMA有效认证范围内的国家级权威第三方检测机构出具的功能检测报告复印件，要求内容能体现满足上述参数要求）</w:t>
            </w:r>
            <w:r>
              <w:rPr>
                <w:sz w:val="24"/>
              </w:rPr>
              <w:t>。</w:t>
            </w:r>
          </w:p>
          <w:p>
            <w:pPr>
              <w:ind w:firstLine="480"/>
              <w:jc w:val="both"/>
            </w:pPr>
            <w:r>
              <w:rPr>
                <w:sz w:val="24"/>
              </w:rPr>
              <w:t>5.▲支持纸质护眼模式，在任意通道任意画面任意软件所在显示内容下可实时调整画面纹理。画面纹理的类型有牛皮纸、素描纸、宣纸、水彩纸、水纹纸。同时支持色温调节和透明度调节。</w:t>
            </w:r>
            <w:r>
              <w:rPr>
                <w:b/>
                <w:sz w:val="24"/>
              </w:rPr>
              <w:t>（须提供具有</w:t>
            </w:r>
            <w:r>
              <w:rPr>
                <w:b/>
                <w:sz w:val="24"/>
              </w:rPr>
              <w:t>CNAS或CMA有效认证范围内的国家级权威第三方检测机构出具的功能检测报告复印件，要求内容能体现满足上述参数要求）。</w:t>
            </w:r>
          </w:p>
          <w:p>
            <w:pPr>
              <w:ind w:firstLine="480"/>
              <w:jc w:val="both"/>
            </w:pPr>
            <w:r>
              <w:rPr>
                <w:sz w:val="24"/>
              </w:rPr>
              <w:t>6.整机显示屏幕贴合方式采用全贴合工艺，减少显示面板与玻璃间的偏光、散射，画面显示更加清晰通透、可视角度更广。</w:t>
            </w:r>
          </w:p>
          <w:p>
            <w:pPr>
              <w:jc w:val="left"/>
            </w:pPr>
            <w:r>
              <w:rPr>
                <w:b/>
                <w:sz w:val="24"/>
              </w:rPr>
              <w:t>三、音效与麦克风要求：</w:t>
            </w:r>
          </w:p>
          <w:p>
            <w:pPr>
              <w:ind w:firstLine="480"/>
              <w:jc w:val="both"/>
            </w:pPr>
            <w:r>
              <w:rPr>
                <w:sz w:val="24"/>
              </w:rPr>
              <w:t>1.采用内置摄像头、麦克风，无需外接线材连接和任何可见外接线材及模块化拼接痕迹，不占用整机设备端口。</w:t>
            </w:r>
          </w:p>
          <w:p>
            <w:pPr>
              <w:ind w:firstLine="480"/>
              <w:jc w:val="both"/>
            </w:pPr>
            <w:r>
              <w:rPr>
                <w:sz w:val="24"/>
              </w:rPr>
              <w:t>2.▲整机内置2.2声道扬声器，位于设备上边框，顶置朝前发声，前朝向10W高音扬声器2个，上朝向20W中低音扬声器2个，总功率60W。</w:t>
            </w:r>
            <w:r>
              <w:rPr>
                <w:b/>
                <w:sz w:val="24"/>
              </w:rPr>
              <w:t>（须提供具有</w:t>
            </w:r>
            <w:r>
              <w:rPr>
                <w:b/>
                <w:sz w:val="24"/>
              </w:rPr>
              <w:t>CNAS或CMA有效认证范围内的国家级权威第三方检测机构出具的功能检测报告复印件，要求内容能体现满足上述参数要求）</w:t>
            </w:r>
          </w:p>
          <w:p>
            <w:pPr>
              <w:ind w:firstLine="480"/>
              <w:jc w:val="both"/>
            </w:pPr>
            <w:r>
              <w:rPr>
                <w:sz w:val="24"/>
              </w:rPr>
              <w:t>3.整机内置非独立外扩展的4阵列麦克风，可用于对教室环境音频进行采集，拾音距离≥12m。</w:t>
            </w:r>
          </w:p>
          <w:p>
            <w:pPr>
              <w:ind w:firstLine="480"/>
              <w:jc w:val="both"/>
            </w:pPr>
            <w:r>
              <w:rPr>
                <w:sz w:val="24"/>
              </w:rPr>
              <w:t>4.整机内置扬声器采用缝隙发声技术，喇叭采用槽式开口设计，不大于5.8mm；支持标准、听力、观影三种音效模式调节。</w:t>
            </w:r>
          </w:p>
          <w:p>
            <w:pPr>
              <w:jc w:val="left"/>
            </w:pPr>
            <w:r>
              <w:rPr>
                <w:b/>
                <w:sz w:val="24"/>
              </w:rPr>
              <w:t>四、主要功能要求：</w:t>
            </w:r>
          </w:p>
          <w:p>
            <w:pPr>
              <w:ind w:firstLine="480"/>
              <w:jc w:val="both"/>
            </w:pPr>
            <w:r>
              <w:rPr>
                <w:sz w:val="24"/>
              </w:rPr>
              <w:t>1.整机开机后自动进入教学桌面，支持账号登录/退出。可自动获取个人云端教学课件列表、同时可以进入校本资源库。</w:t>
            </w:r>
          </w:p>
          <w:p>
            <w:pPr>
              <w:ind w:firstLine="480"/>
              <w:jc w:val="both"/>
            </w:pPr>
            <w:r>
              <w:rPr>
                <w:sz w:val="24"/>
              </w:rPr>
              <w:t>2.整机内置全通道侧边栏快捷菜单，支持实时显示天气情况、日期、小工具、快捷设置、应用软件、亮度/音量调节、教室物联入口。在任意显示通道下均可通过侧边栏一键进入该触摸菜单；有PC模块时，具有快捷应用入口的显示和快捷切换。</w:t>
            </w:r>
          </w:p>
          <w:p>
            <w:pPr>
              <w:ind w:firstLine="480"/>
              <w:jc w:val="both"/>
            </w:pPr>
            <w:r>
              <w:rPr>
                <w:sz w:val="24"/>
              </w:rPr>
              <w:t>3.▲整机嵌入式系统版本不低于Android 11，内存≥2GB，存储空间≥8GB。</w:t>
            </w:r>
            <w:r>
              <w:rPr>
                <w:b/>
                <w:sz w:val="24"/>
              </w:rPr>
              <w:t>（须提供具有</w:t>
            </w:r>
            <w:r>
              <w:rPr>
                <w:b/>
                <w:sz w:val="24"/>
              </w:rPr>
              <w:t>CNAS或CMA有效认证范围内的国家级权威第三方检测机构出具的功能检测报告复印件，要求内容能体现满足上述参数要求）。</w:t>
            </w:r>
          </w:p>
          <w:p>
            <w:pPr>
              <w:ind w:firstLine="480"/>
              <w:jc w:val="both"/>
            </w:pPr>
            <w:r>
              <w:rPr>
                <w:sz w:val="24"/>
              </w:rPr>
              <w:t>4.无PC状态下，Android系统内置互动白板支持十笔书写及手掌擦除，手掌擦除的面积根据手掌与屏幕的接触面大小自动调整，白板书写内容可以PDF、IWB和SVG格式导出。支持10种以上平面图形工具。支持8种以上立体图形工具。</w:t>
            </w:r>
          </w:p>
          <w:p>
            <w:pPr>
              <w:ind w:firstLine="480"/>
              <w:jc w:val="both"/>
            </w:pPr>
            <w:r>
              <w:rPr>
                <w:sz w:val="24"/>
              </w:rPr>
              <w:t>5.内置无线传屏接收端，无需外接接收部件，无线传屏发射器与整机匹配后即可实现传屏功能，可以将外部电脑的屏幕画面通过无线方式传输到整机上显示。</w:t>
            </w:r>
          </w:p>
          <w:p>
            <w:pPr>
              <w:ind w:firstLine="480"/>
              <w:jc w:val="both"/>
            </w:pPr>
            <w:r>
              <w:rPr>
                <w:sz w:val="24"/>
              </w:rPr>
              <w:t>6.▲整机支持搭配具有NFC功能的手机、平板，通过接触NFC标签，接触即可实现手机与大屏的连接并同步画面，无需其它操作设置，支持不少于4台手机、平板同时连接并显示。</w:t>
            </w:r>
            <w:r>
              <w:rPr>
                <w:b/>
                <w:sz w:val="24"/>
              </w:rPr>
              <w:t>（须提供具有</w:t>
            </w:r>
            <w:r>
              <w:rPr>
                <w:b/>
                <w:sz w:val="24"/>
              </w:rPr>
              <w:t>CNAS或CMA有效认证范围内的国家级权威第三方检测机构出具的功能检测报告复印件，要求内容能体现满足上述参数要求）。</w:t>
            </w:r>
          </w:p>
          <w:p>
            <w:pPr>
              <w:ind w:firstLine="480"/>
              <w:jc w:val="both"/>
            </w:pPr>
            <w:r>
              <w:rPr>
                <w:sz w:val="24"/>
              </w:rPr>
              <w:t>7.整机支持蓝牙Bluetooth 5.2标准，固件版本号HCI11.2/LMP11.2。</w:t>
            </w:r>
            <w:r>
              <w:rPr>
                <w:b/>
                <w:sz w:val="24"/>
              </w:rPr>
              <w:t>（提供国家级检测机构所出具的权威检测报告复印件并加盖厂家公章）。</w:t>
            </w:r>
          </w:p>
          <w:p>
            <w:pPr>
              <w:ind w:firstLine="480"/>
              <w:jc w:val="both"/>
            </w:pPr>
            <w:r>
              <w:rPr>
                <w:sz w:val="24"/>
              </w:rPr>
              <w:t>8.▲整机Wi-Fi和AP热点工作距离≥12m；Wi-Fi制式支持802.11 a/b/g/n/ac/ax；支持Wi-Fi6版本。</w:t>
            </w:r>
            <w:r>
              <w:rPr>
                <w:b/>
                <w:sz w:val="24"/>
              </w:rPr>
              <w:t>（须提供具有</w:t>
            </w:r>
            <w:r>
              <w:rPr>
                <w:b/>
                <w:sz w:val="24"/>
              </w:rPr>
              <w:t>CNAS或CMA有效认证范围内的国家级权威第三方检测机构出具的功能检测报告复印件，要求内容能体现满足上述参数要求）。</w:t>
            </w:r>
          </w:p>
          <w:p>
            <w:pPr>
              <w:ind w:firstLine="480"/>
              <w:jc w:val="both"/>
            </w:pPr>
            <w:r>
              <w:rPr>
                <w:sz w:val="24"/>
              </w:rPr>
              <w:t>9.▲整机内置非独立摄像头（非外扩），摄像头视场角≥135度，可拍摄≥1300万像素数的照片；同时可用于远程巡课，可AI识别人像，人像识别距离≥10米。</w:t>
            </w:r>
            <w:r>
              <w:rPr>
                <w:b/>
                <w:sz w:val="24"/>
              </w:rPr>
              <w:t>（须提供具有</w:t>
            </w:r>
            <w:r>
              <w:rPr>
                <w:b/>
                <w:sz w:val="24"/>
              </w:rPr>
              <w:t>CNAS或CMA有效认证范围内的国家级权威第三方检测机构出具的功能检测报告复印件，要求内容能体现满足上述参数要求）。</w:t>
            </w:r>
          </w:p>
          <w:p>
            <w:pPr>
              <w:ind w:firstLine="480"/>
              <w:jc w:val="both"/>
            </w:pPr>
            <w:r>
              <w:rPr>
                <w:sz w:val="24"/>
              </w:rPr>
              <w:t>10.整机摄像头支持人脸识别、帮助教师快速点人数、随机抽人，可识别镜头前的所有学生，并显示人脸标记、随机抽选。支持同时显示标记不少于60人。</w:t>
            </w:r>
            <w:r>
              <w:rPr>
                <w:b/>
                <w:sz w:val="24"/>
              </w:rPr>
              <w:t>（须提供具有</w:t>
            </w:r>
            <w:r>
              <w:rPr>
                <w:b/>
                <w:sz w:val="24"/>
              </w:rPr>
              <w:t>CNAS或CMA有效认证范围内的国家级权威第三方检测机构出具的功能检测报告复印件，要求内容能体现满足上述参数要求）。</w:t>
            </w:r>
          </w:p>
          <w:p>
            <w:pPr>
              <w:ind w:firstLine="480"/>
              <w:jc w:val="both"/>
            </w:pPr>
            <w:r>
              <w:rPr>
                <w:sz w:val="24"/>
              </w:rPr>
              <w:t>11.整机内置专业硬件自检维护工具（非第三方工具），支持对触摸框和PC模块进行检测，并针对不同模块给出问题代码提示。</w:t>
            </w:r>
          </w:p>
          <w:p>
            <w:pPr>
              <w:ind w:firstLine="480"/>
              <w:jc w:val="both"/>
            </w:pPr>
            <w:r>
              <w:rPr>
                <w:sz w:val="24"/>
              </w:rPr>
              <w:t>12.整机全通道侧边栏快捷菜单包含的小工具有：批注、截屏、计时、降半屏、放大镜、日历。在Android通道和全部外接通道（HDMI、Type-C），还具备答题、倒数日、节拍器小工具。</w:t>
            </w:r>
          </w:p>
          <w:p>
            <w:pPr>
              <w:ind w:firstLine="480"/>
              <w:jc w:val="both"/>
            </w:pPr>
            <w:r>
              <w:rPr>
                <w:sz w:val="24"/>
              </w:rPr>
              <w:t>13.整机全通道侧边栏快捷菜单中可实时查看物联设备的连接情况，点击任意一台设备图标即可调出中控菜单进行管控。</w:t>
            </w:r>
          </w:p>
          <w:p>
            <w:pPr>
              <w:ind w:firstLine="480"/>
              <w:jc w:val="both"/>
            </w:pPr>
            <w:r>
              <w:rPr>
                <w:sz w:val="24"/>
              </w:rPr>
              <w:t>14.整机支持同一品牌智能笔，通过BLE、BT、等方式连接，当整机和智能笔均支持BLE功能时，支持指定区域内智能笔自动发现、自动连接，并支持读取智能笔型号，对应显示设备实物图片。</w:t>
            </w:r>
          </w:p>
          <w:p>
            <w:pPr>
              <w:ind w:firstLine="480"/>
              <w:jc w:val="both"/>
            </w:pPr>
            <w:r>
              <w:rPr>
                <w:sz w:val="24"/>
              </w:rPr>
              <w:t>15.整机支持同一品牌音箱音量的智能调节，当麦克风接入时，自动调整合适的音箱音量且带有麦克风电量智能提醒，当麦克风电量过低时，提供低电量反馈提示，支持麦克风自动判断同一房间内的整机和音箱，自动匹配连接。</w:t>
            </w:r>
          </w:p>
          <w:p>
            <w:pPr>
              <w:jc w:val="left"/>
            </w:pPr>
            <w:r>
              <w:rPr>
                <w:b/>
                <w:sz w:val="24"/>
              </w:rPr>
              <w:t>五、内置电脑要求：</w:t>
            </w:r>
          </w:p>
          <w:p>
            <w:pPr>
              <w:ind w:firstLine="480"/>
              <w:jc w:val="both"/>
            </w:pPr>
            <w:r>
              <w:rPr>
                <w:sz w:val="24"/>
              </w:rPr>
              <w:t>1.PC模块支持不断电情况下热插拔，以便快速维护或替换模块；</w:t>
            </w:r>
          </w:p>
          <w:p>
            <w:pPr>
              <w:ind w:firstLine="480"/>
              <w:jc w:val="both"/>
            </w:pPr>
            <w:r>
              <w:rPr>
                <w:sz w:val="24"/>
              </w:rPr>
              <w:t>2.为传输速率满</w:t>
            </w:r>
            <w:r>
              <w:rPr>
                <w:sz w:val="24"/>
              </w:rPr>
              <w:t>足教学使用需求，与整机的连接采用万兆级接口，传输速率</w:t>
            </w:r>
            <w:r>
              <w:rPr>
                <w:sz w:val="24"/>
              </w:rPr>
              <w:t>≥10Gbps；</w:t>
            </w:r>
          </w:p>
          <w:p>
            <w:pPr>
              <w:ind w:firstLine="480"/>
              <w:jc w:val="both"/>
            </w:pPr>
            <w:r>
              <w:rPr>
                <w:sz w:val="24"/>
              </w:rPr>
              <w:t>3.主板南桥采用不低于H310</w:t>
            </w:r>
            <w:r>
              <w:rPr>
                <w:sz w:val="24"/>
              </w:rPr>
              <w:t>芯片组，搭载</w:t>
            </w:r>
            <w:r>
              <w:rPr>
                <w:sz w:val="24"/>
              </w:rPr>
              <w:t>Intel  酷睿系列 i5 CPU。</w:t>
            </w:r>
          </w:p>
          <w:p>
            <w:pPr>
              <w:ind w:firstLine="480"/>
              <w:jc w:val="both"/>
            </w:pPr>
            <w:r>
              <w:rPr>
                <w:sz w:val="24"/>
              </w:rPr>
              <w:t>4.内存：8GB DDR4笔记本内存或以上配置；</w:t>
            </w:r>
          </w:p>
          <w:p>
            <w:pPr>
              <w:ind w:firstLine="480"/>
              <w:jc w:val="both"/>
            </w:pPr>
            <w:r>
              <w:rPr>
                <w:sz w:val="24"/>
              </w:rPr>
              <w:t>5.硬盘：256 GB或以上SSD固态硬盘；</w:t>
            </w:r>
          </w:p>
          <w:p>
            <w:pPr>
              <w:ind w:firstLine="480"/>
              <w:jc w:val="both"/>
            </w:pPr>
            <w:r>
              <w:rPr>
                <w:sz w:val="24"/>
              </w:rPr>
              <w:t>6.电脑模块无需工具就可快速拆卸，采用按压式卡扣，具有标准PC防盗锁孔；</w:t>
            </w:r>
          </w:p>
          <w:p>
            <w:pPr>
              <w:jc w:val="left"/>
            </w:pPr>
            <w:r>
              <w:rPr>
                <w:b/>
                <w:sz w:val="24"/>
              </w:rPr>
              <w:t>六、接口要求：</w:t>
            </w:r>
          </w:p>
          <w:p>
            <w:pPr>
              <w:ind w:firstLine="480"/>
              <w:jc w:val="both"/>
            </w:pPr>
            <w:r>
              <w:rPr>
                <w:sz w:val="24"/>
              </w:rPr>
              <w:t>1.整机侧置输入至少具备2路HDMI、1路RS232接口；侧置输出至少具备1路音频、1路触控USB接口；前置输入至少具备3路USB：包含1路Type-C、2路USB接口。</w:t>
            </w:r>
          </w:p>
          <w:p>
            <w:pPr>
              <w:ind w:firstLine="480"/>
              <w:jc w:val="both"/>
            </w:pPr>
            <w:r>
              <w:rPr>
                <w:sz w:val="24"/>
              </w:rPr>
              <w:t>2.整机具备前置Type-C接口，通过Type-C接口实现音视频输入，外接电脑设备经双头Type-C线连接至整机，可把外接电脑设备画面投到整机上，同时可在整机上操作画面，可实现触摸电脑的操作，无需再连接触控USB线。</w:t>
            </w:r>
          </w:p>
          <w:p>
            <w:pPr>
              <w:ind w:firstLine="480"/>
              <w:jc w:val="both"/>
            </w:pPr>
            <w:r>
              <w:rPr>
                <w:sz w:val="24"/>
              </w:rPr>
              <w:t>3.外接电脑设备连接整机且触摸信号连通时，外接电脑设备可直接读取整机前置USB接口的移动存储设备数据，连接整机前置USB接口的翻页笔和无线键鼠外接设备可直接使用于外接电脑。</w:t>
            </w:r>
          </w:p>
          <w:p>
            <w:pPr>
              <w:ind w:firstLine="480"/>
              <w:jc w:val="both"/>
            </w:pPr>
            <w:r>
              <w:rPr>
                <w:sz w:val="24"/>
              </w:rPr>
              <w:t>4.外接电脑设备通过双头Type-C数据线连接至整机，可调用整机内置的摄像头、麦克风、扬声器，可在外接电脑上控制整机拍摄教室画面。</w:t>
            </w:r>
          </w:p>
          <w:p>
            <w:pPr>
              <w:ind w:firstLine="480"/>
              <w:jc w:val="both"/>
            </w:pPr>
            <w:r>
              <w:rPr>
                <w:b/>
                <w:sz w:val="24"/>
              </w:rPr>
              <w:t>七、</w:t>
            </w:r>
            <w:r>
              <w:rPr>
                <w:b/>
                <w:sz w:val="24"/>
              </w:rPr>
              <w:t>智能笔要求：</w:t>
            </w:r>
          </w:p>
          <w:p>
            <w:pPr>
              <w:ind w:firstLine="480"/>
              <w:jc w:val="both"/>
            </w:pPr>
            <w:r>
              <w:rPr>
                <w:sz w:val="24"/>
              </w:rPr>
              <w:t>1.支持主动电容笔书写。</w:t>
            </w:r>
          </w:p>
          <w:p>
            <w:pPr>
              <w:ind w:firstLine="480"/>
              <w:jc w:val="both"/>
            </w:pPr>
            <w:r>
              <w:rPr>
                <w:sz w:val="24"/>
              </w:rPr>
              <w:t>2.笔身翻转矫正，笔身轻微倾斜时，水平移动智能笔，可瞬时矫正识别光标动作为水平移动。</w:t>
            </w:r>
          </w:p>
          <w:p>
            <w:pPr>
              <w:ind w:firstLine="480"/>
              <w:jc w:val="both"/>
            </w:pPr>
            <w:r>
              <w:rPr>
                <w:sz w:val="24"/>
              </w:rPr>
              <w:t>3.电容笔笔身配置不少于四个物理按键，具备翻页、模拟激光笔、智能语音控制功能，兼顾触摸书写以及远程操控的握持姿态，兼容白板软件、PPT、PDF等多种演示软件课件的远程翻页控制。</w:t>
            </w:r>
          </w:p>
          <w:p>
            <w:pPr>
              <w:ind w:firstLine="480"/>
              <w:jc w:val="both"/>
            </w:pPr>
            <w:r>
              <w:rPr>
                <w:sz w:val="24"/>
              </w:rPr>
              <w:t>4.电容笔内置高精度陀螺仪，具备模拟激光笔功能，可通过笔身按钮激活陀螺仪模拟激光功能，适用于加载防眩光设计的教学显示设备。</w:t>
            </w:r>
          </w:p>
          <w:p>
            <w:pPr>
              <w:ind w:firstLine="480"/>
              <w:jc w:val="both"/>
            </w:pPr>
            <w:r>
              <w:rPr>
                <w:sz w:val="24"/>
              </w:rPr>
              <w:t>5.电容笔支持按键唤醒语音识别，唤醒语音识别时，可直接通过语音打开PC内已安装的应用，可直接通过语音调用网络搜索引擎搜索查询相应资料，可进行语音转写输入，支持语音控制屏幕黑屏、亮屏，音量大小调整，返回桌面，截屏，关机等操作。</w:t>
            </w:r>
          </w:p>
          <w:p>
            <w:pPr>
              <w:jc w:val="left"/>
            </w:pPr>
            <w:r>
              <w:rPr>
                <w:b/>
                <w:sz w:val="24"/>
              </w:rPr>
              <w:t>八、配套软件功能要求：</w:t>
            </w:r>
          </w:p>
          <w:p>
            <w:pPr>
              <w:jc w:val="both"/>
            </w:pPr>
            <w:r>
              <w:rPr>
                <w:b/>
                <w:color w:val="000000"/>
                <w:sz w:val="24"/>
              </w:rPr>
              <w:t>（一）教学白板软件</w:t>
            </w:r>
          </w:p>
          <w:p>
            <w:pPr>
              <w:ind w:firstLine="480"/>
              <w:jc w:val="both"/>
            </w:pPr>
            <w:r>
              <w:rPr>
                <w:sz w:val="24"/>
              </w:rPr>
              <w:t>1.互动教学软件能够帮助教师备课、授课；为教师提供可扩展，易于学校管理，安全可靠的云存储空间，根据每名教师使用时长与教学资料制作频率提供可扩展升级至不小于200G的个人云空间。</w:t>
            </w:r>
          </w:p>
          <w:p>
            <w:pPr>
              <w:ind w:firstLine="480"/>
              <w:jc w:val="both"/>
            </w:pPr>
            <w:r>
              <w:rPr>
                <w:sz w:val="24"/>
              </w:rPr>
              <w:t>2.互动教学软件要求为使用方全体教师配备个人账号，形成一体的信息化教学账号体系；根据教师账号信息将教师云空间匹配至对应学校、学科校本资源库。支持通过数字账号、微信二维码、硬件密钥方式登录教师个人账号。</w:t>
            </w:r>
          </w:p>
          <w:p>
            <w:pPr>
              <w:ind w:firstLine="480"/>
              <w:jc w:val="both"/>
            </w:pPr>
            <w:r>
              <w:rPr>
                <w:sz w:val="24"/>
              </w:rPr>
              <w:t>3.</w:t>
            </w:r>
            <w:r>
              <w:rPr>
                <w:sz w:val="24"/>
              </w:rPr>
              <w:t>互动教学课件支持定向精准分享：分享者可将互动课件、课件组精准推送至指定接收方账号云空间，接收方可在云空间接收并打开分享课件</w:t>
            </w:r>
            <w:r>
              <w:rPr>
                <w:sz w:val="24"/>
              </w:rPr>
              <w:t>。</w:t>
            </w:r>
          </w:p>
          <w:p>
            <w:pPr>
              <w:ind w:firstLine="480"/>
              <w:jc w:val="both"/>
            </w:pPr>
            <w:r>
              <w:rPr>
                <w:sz w:val="24"/>
              </w:rPr>
              <w:t>4.▲互动教学课件支持开放式云分享：分享者可将互动课件、课件组以公开或加密的web链接和二维码形式进行分享，分享链接可设置访问有效期。</w:t>
            </w:r>
            <w:r>
              <w:rPr>
                <w:b/>
                <w:sz w:val="24"/>
              </w:rPr>
              <w:t>（须提供具有</w:t>
            </w:r>
            <w:r>
              <w:rPr>
                <w:b/>
                <w:sz w:val="24"/>
              </w:rPr>
              <w:t>CNAS或CMA有效认证范围内的国家级权威第三方检测机构出具的功能检测报告复印件，要求内容能体现满足上述参数要求）。</w:t>
            </w:r>
          </w:p>
          <w:p>
            <w:pPr>
              <w:ind w:firstLine="480"/>
              <w:jc w:val="both"/>
            </w:pPr>
            <w:r>
              <w:rPr>
                <w:sz w:val="24"/>
              </w:rPr>
              <w:t>5.互动教学软件要求表格</w:t>
            </w:r>
            <w:r>
              <w:rPr>
                <w:sz w:val="24"/>
              </w:rPr>
              <w:t>具备遮罩功能，表格中任一单元格可添加遮罩掩盖单元格内容，授课模式点击即可取消遮罩，便于教师交互式教学</w:t>
            </w:r>
            <w:r>
              <w:rPr>
                <w:sz w:val="24"/>
              </w:rPr>
              <w:t>；</w:t>
            </w:r>
          </w:p>
          <w:p>
            <w:pPr>
              <w:ind w:firstLine="480"/>
              <w:jc w:val="both"/>
            </w:pPr>
            <w:r>
              <w:rPr>
                <w:sz w:val="24"/>
              </w:rPr>
              <w:t>6.互动教学软件为教师备课节省大量时间，立体几何工具：可自由绘制长方体、立方体、圆柱体、圆锥等立体几何图形。任意调节几何体的大小尺寸，支持几何图形按比例放大缩小和通过单独调整长宽高（半径/高）改变几何体大小。</w:t>
            </w:r>
          </w:p>
          <w:p>
            <w:pPr>
              <w:ind w:firstLine="480"/>
              <w:jc w:val="both"/>
            </w:pPr>
            <w:r>
              <w:rPr>
                <w:sz w:val="24"/>
              </w:rPr>
              <w:t>7.互动教学软件为教师备课节省大量时间，</w:t>
            </w:r>
            <w:r>
              <w:rPr>
                <w:sz w:val="24"/>
              </w:rPr>
              <w:t>支持中英文、数学公式的编辑输入，可快速输入方程组、脱式运算</w:t>
            </w:r>
            <w:r>
              <w:rPr>
                <w:sz w:val="24"/>
              </w:rPr>
              <w:t>，</w:t>
            </w:r>
            <w:r>
              <w:rPr>
                <w:sz w:val="24"/>
              </w:rPr>
              <w:t>提供不少于</w:t>
            </w:r>
            <w:r>
              <w:rPr>
                <w:sz w:val="24"/>
              </w:rPr>
              <w:t>70</w:t>
            </w:r>
            <w:r>
              <w:rPr>
                <w:sz w:val="24"/>
              </w:rPr>
              <w:t>个数学符号及模板</w:t>
            </w:r>
            <w:r>
              <w:rPr>
                <w:sz w:val="24"/>
              </w:rPr>
              <w:t>；</w:t>
            </w:r>
            <w:r>
              <w:rPr>
                <w:sz w:val="24"/>
              </w:rPr>
              <w:t>预置不少于</w:t>
            </w:r>
            <w:r>
              <w:rPr>
                <w:sz w:val="24"/>
              </w:rPr>
              <w:t>40个常用数学公式，无需编辑一键插入，</w:t>
            </w:r>
            <w:r>
              <w:rPr>
                <w:sz w:val="24"/>
              </w:rPr>
              <w:t>输入内容可用不同颜色标记及重复编辑</w:t>
            </w:r>
            <w:r>
              <w:rPr>
                <w:sz w:val="24"/>
              </w:rPr>
              <w:t>。</w:t>
            </w:r>
          </w:p>
          <w:p>
            <w:pPr>
              <w:ind w:firstLine="480"/>
              <w:jc w:val="both"/>
            </w:pPr>
            <w:r>
              <w:rPr>
                <w:sz w:val="24"/>
              </w:rPr>
              <w:t>8.互动教学软件要求支持为长方体、圆柱体、圆锥等几何体的各面、棱分别填涂颜色，并且可通过360°旋转观察涂色面与未涂色面；几何体支持平面展开，预置长方体、立方体“141、132、222、33”型展开方式，展开后可对涂色面进行查看，有助于学生的空间想象。</w:t>
            </w:r>
          </w:p>
          <w:p>
            <w:pPr>
              <w:ind w:firstLine="480"/>
              <w:jc w:val="both"/>
            </w:pPr>
            <w:r>
              <w:rPr>
                <w:sz w:val="24"/>
              </w:rPr>
              <w:t>9.互动教学软件需要</w:t>
            </w:r>
            <w:r>
              <w:rPr>
                <w:sz w:val="24"/>
              </w:rPr>
              <w:t>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备课时可对原文进行注释、标重点等操作；提供原文朗读音频，全部诗词、古文均配备专业朗读配音，朗读音频支持关键帧打点标记</w:t>
            </w:r>
            <w:r>
              <w:rPr>
                <w:sz w:val="24"/>
              </w:rPr>
              <w:t>。</w:t>
            </w:r>
          </w:p>
          <w:p>
            <w:pPr>
              <w:ind w:firstLine="480"/>
              <w:jc w:val="both"/>
            </w:pPr>
            <w:r>
              <w:rPr>
                <w:sz w:val="24"/>
              </w:rPr>
              <w:t>10.多学科课件库：提供涵盖小学语文、数学、英语全部教学章节的不少于80000份的交互式课件。课件支持直接预览并下载，预览时支持拖动课堂活动、形状、几何、文本等元素；下载时课件可同步至教师个人云课件存储空间；课件支持教师在线评分。</w:t>
            </w:r>
          </w:p>
          <w:p>
            <w:pPr>
              <w:jc w:val="both"/>
            </w:pPr>
            <w:r>
              <w:rPr>
                <w:b/>
                <w:color w:val="000000"/>
                <w:sz w:val="24"/>
              </w:rPr>
              <w:t>（二）</w:t>
            </w:r>
            <w:r>
              <w:rPr>
                <w:b/>
                <w:color w:val="000000"/>
                <w:sz w:val="24"/>
              </w:rPr>
              <w:t>集控管理软件</w:t>
            </w:r>
          </w:p>
          <w:p>
            <w:pPr>
              <w:ind w:firstLine="480"/>
              <w:jc w:val="both"/>
            </w:pPr>
            <w:r>
              <w:rPr>
                <w:sz w:val="24"/>
              </w:rPr>
              <w:t>1.系统采用B/S混合云架构设计，支持在Windows、Linux、Android、IOS等多种操作系统通过网页浏览器登录使用。</w:t>
            </w:r>
          </w:p>
          <w:p>
            <w:pPr>
              <w:ind w:firstLine="480"/>
              <w:jc w:val="both"/>
            </w:pPr>
            <w:r>
              <w:rPr>
                <w:sz w:val="24"/>
              </w:rPr>
              <w:t>2.系统提供多种身份识别方式，支持通过账号登录、手机扫码登录，并提供账号安全登录检测。</w:t>
            </w:r>
          </w:p>
          <w:p>
            <w:pPr>
              <w:ind w:firstLine="480"/>
              <w:jc w:val="both"/>
            </w:pPr>
            <w:r>
              <w:rPr>
                <w:sz w:val="24"/>
              </w:rPr>
              <w:t>3.精准管理：支持根据实际使用场景按照产品类型、建筑物、班级、设备开关机状态分级管理，并可模糊搜索定位管理设备。</w:t>
            </w:r>
          </w:p>
          <w:p>
            <w:pPr>
              <w:ind w:firstLine="480"/>
              <w:jc w:val="both"/>
            </w:pPr>
            <w:r>
              <w:rPr>
                <w:sz w:val="24"/>
              </w:rPr>
              <w:t>4.权限管理：支持根据具体设备、功能菜单进行权限划分，方便根据管理者职能分配管理权限。</w:t>
            </w:r>
          </w:p>
          <w:p>
            <w:pPr>
              <w:ind w:firstLine="480"/>
              <w:jc w:val="both"/>
            </w:pPr>
            <w:r>
              <w:rPr>
                <w:sz w:val="24"/>
              </w:rPr>
              <w:t>5.实时反馈：支持实时查看指令执行状态，并且可监管指令发送日志，对发送失败的指令进行远程重发。</w:t>
            </w:r>
          </w:p>
          <w:p>
            <w:pPr>
              <w:ind w:firstLine="480"/>
              <w:jc w:val="both"/>
            </w:pPr>
            <w:r>
              <w:rPr>
                <w:sz w:val="24"/>
              </w:rPr>
              <w:t>6.批量部署：支持同网段下，只需部署一台设备，即可将同网段下所有设备纳入管控，方便管理者直接向全校设备进行批量管理。</w:t>
            </w:r>
          </w:p>
          <w:p>
            <w:pPr>
              <w:ind w:firstLine="480"/>
              <w:jc w:val="both"/>
            </w:pPr>
            <w:r>
              <w:rPr>
                <w:sz w:val="24"/>
              </w:rPr>
              <w:t>7.支持实时展示所有设备的使用状态及设备运行画面，并可监控单台设备的开机情况、软件使用情况、硬盘使用、内存使用率、设备辅助管理软件版本号、设备ID等数据，便于远程定位及维护设备。</w:t>
            </w:r>
          </w:p>
          <w:p>
            <w:pPr>
              <w:ind w:firstLine="480"/>
              <w:jc w:val="both"/>
            </w:pPr>
            <w:r>
              <w:rPr>
                <w:sz w:val="24"/>
              </w:rPr>
              <w:t>8.基础指令：支持自定义循环周期，执行远程关机、重启、打铃指令；支持远程切换通道、声音模式、图像模式。</w:t>
            </w:r>
          </w:p>
          <w:p>
            <w:pPr>
              <w:ind w:firstLine="480"/>
              <w:jc w:val="both"/>
            </w:pPr>
            <w:r>
              <w:rPr>
                <w:sz w:val="24"/>
              </w:rPr>
              <w:t>9.智慧管控：支持长时间无人使用，自动锁屏/屏保/关机。</w:t>
            </w:r>
          </w:p>
          <w:p>
            <w:pPr>
              <w:ind w:firstLine="480"/>
              <w:jc w:val="both"/>
            </w:pPr>
            <w:r>
              <w:rPr>
                <w:sz w:val="24"/>
              </w:rPr>
              <w:t>10.信息发布：支持远程发送消息通知、文件传输、静默安装软件、倒计时。</w:t>
            </w:r>
          </w:p>
          <w:p>
            <w:pPr>
              <w:ind w:firstLine="480"/>
              <w:jc w:val="both"/>
            </w:pPr>
            <w:r>
              <w:rPr>
                <w:sz w:val="24"/>
              </w:rPr>
              <w:t>11.远程控制：支持远程实时控制设备，可监测设备当前运行界面，并远程操作设备界面，适用于远程维护和修复设备软件问题。</w:t>
            </w:r>
          </w:p>
          <w:p>
            <w:pPr>
              <w:ind w:firstLine="480"/>
              <w:jc w:val="both"/>
            </w:pPr>
            <w:r>
              <w:rPr>
                <w:sz w:val="24"/>
              </w:rPr>
              <w:t>12.冰点还原：支持远程查看所有设备的冰点使用状态，并可针对开机状态下的设备批量修改系统还原点。</w:t>
            </w:r>
          </w:p>
          <w:p>
            <w:pPr>
              <w:ind w:firstLine="480"/>
              <w:jc w:val="both"/>
            </w:pPr>
            <w:r>
              <w:rPr>
                <w:sz w:val="24"/>
              </w:rPr>
              <w:t>13.弹窗拦截：支持后台远程一键开启/关闭弹窗拦截功能，并可针对不良弹窗设置黑白名单，更加精确的拦截。</w:t>
            </w:r>
          </w:p>
          <w:p>
            <w:pPr>
              <w:ind w:firstLine="480"/>
              <w:jc w:val="both"/>
            </w:pPr>
            <w:r>
              <w:rPr>
                <w:sz w:val="24"/>
              </w:rPr>
              <w:t>14.异常消息：支持自动发现设备运行过程中的异常问题，并可远程推送至移动端，便于管理者处理异常。</w:t>
            </w:r>
          </w:p>
          <w:p>
            <w:pPr>
              <w:ind w:firstLine="480"/>
              <w:jc w:val="both"/>
            </w:pPr>
            <w:r>
              <w:rPr>
                <w:sz w:val="24"/>
              </w:rPr>
              <w:t>15.数据分析：支持查看并导出设备使用数据、软件活跃数据、教学应用数据、健康度分析数据。</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1.采购代理机构：本项目是指韶关市优采招标代理有限公司，负责整个采购活动的组织，依法负责编制和发布招标文件，对招标文件拥有最终的解释权，不以任何身份出任评标委员会成员。</w:t>
      </w:r>
    </w:p>
    <w:p>
      <w:pPr>
        <w:ind w:firstLine="480"/>
      </w:pPr>
      <w:r>
        <w:rPr/>
        <w:t>2.采购人：本项目是指</w:t>
      </w:r>
      <w:r>
        <w:rPr/>
        <w:t>乳源瑶族自治县中等职业技术学校</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采购机构代理服务收费标准：1.投标人应承担所有与准备和参加投标有关的费用。不论投标的结果如何，采购代理机构和采购人均无义务和责任承担这些费用。  2.代理服务费不在投标报价中单列。投标人在领取《中标通知书》前应向招标代理机构交纳代理服务费。本次招标向中标人收取的中标服务费，参照《国家发展改革委关于进一步放开建设项目专业服务价格的通知（发改价格〔2015〕 299号）》、《国家发展计划委员会颁发的&lt;招标代理服务收费管理暂行办法&gt;（计价格[2002]1980号）》文件规定执行。以《中标通知书》中规定的中标总金额作为收费的计算基数。</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演示视频邮寄注意事项，智慧校园软件演示部分： （1） 演示方式：投标人提供演示视频，演示视频放入U盘开标前通过快递方式邮寄至韶关市优采招标代理有限公司（地址：广东省韶关市浈江区金汇大道88号鑫金汇建材家居广场条铺22栋三楼317号；联系人：徐小姐0751-8881466）。 （2） 演示视频格式要求：视频须采用MP4格式封装，每个文件大小不超过200M。每段视频文件以演示内容命名。视频录制软件不限，采用H.264/AVC（MPEG-4 Part10）编码格式压缩；分辨率设定为1920×1080（高清16:9）或1280×720（高清16:9）。（3） 演示要求：视频开头须以文字或语言方式体现投标人名称，每个演示项要求能够完全满足，有任何一条不满足则相应演示项不得分。</w:t>
            </w:r>
          </w:p>
        </w:tc>
      </w:tr>
      <w:tr>
        <w:tc>
          <w:tcPr>
            <w:tcW w:type="dxa" w:w="1051"/>
          </w:tcPr>
          <w:p>
            <w:r>
              <w:rPr/>
              <w:t>19</w:t>
            </w:r>
          </w:p>
        </w:tc>
        <w:tc>
          <w:tcPr>
            <w:tcW w:type="dxa" w:w="2252"/>
          </w:tcPr>
          <w:p>
            <w:r>
              <w:rPr/>
              <w:t>开标解密时长</w:t>
            </w:r>
          </w:p>
        </w:tc>
        <w:tc>
          <w:tcPr>
            <w:tcW w:type="dxa" w:w="5004"/>
          </w:tcPr>
          <w:p>
            <w:r>
              <w:rPr/>
              <w:t>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韶关市优采招标代理有限公司</w:t>
      </w:r>
      <w:r>
        <w:rPr/>
        <w:t>代收。具体操作要求详见</w:t>
      </w:r>
      <w:r>
        <w:rPr/>
        <w:t>韶关市优采招标代理有限公司</w:t>
      </w:r>
      <w:r>
        <w:rPr/>
        <w:t>有关指引，递交事宜请自行咨询</w:t>
      </w:r>
      <w:r>
        <w:rPr/>
        <w:t>韶关市优采招标代理有限公司</w:t>
      </w:r>
      <w:r>
        <w:rPr/>
        <w:t>；请各投标人在投标文件递交截止时间前按须知前附表规定的金额递交至</w:t>
      </w:r>
      <w:r>
        <w:rPr/>
        <w:t>韶关市优采招标代理有限公司</w:t>
      </w:r>
      <w:r>
        <w:rPr/>
        <w:t>，到账情况以开标时</w:t>
      </w:r>
      <w:r>
        <w:rPr/>
        <w:t>韶关市优采招标代理有限公司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徐小姐</w:t>
      </w:r>
    </w:p>
    <w:p>
      <w:pPr>
        <w:ind w:firstLine="480"/>
      </w:pPr>
      <w:r>
        <w:rPr/>
        <w:t>电话：</w:t>
      </w:r>
      <w:r>
        <w:rPr/>
        <w:t>0751-8881466</w:t>
      </w:r>
    </w:p>
    <w:p>
      <w:pPr>
        <w:ind w:firstLine="480"/>
      </w:pPr>
      <w:r>
        <w:rPr/>
        <w:t>传真：</w:t>
      </w:r>
      <w:r>
        <w:rPr/>
        <w:t>8881997</w:t>
      </w:r>
    </w:p>
    <w:p>
      <w:pPr>
        <w:ind w:firstLine="480"/>
      </w:pPr>
      <w:r>
        <w:rPr/>
        <w:t>邮箱：</w:t>
      </w:r>
      <w:r>
        <w:rPr/>
        <w:t>162123813@qq.com</w:t>
      </w:r>
    </w:p>
    <w:p>
      <w:pPr>
        <w:ind w:firstLine="480"/>
      </w:pPr>
      <w:r>
        <w:rPr/>
        <w:t>地址：</w:t>
      </w:r>
      <w:r>
        <w:rPr/>
        <w:t>广东省韶关市浈江区金汇大道88号鑫金汇建材家居广场条铺22栋316号</w:t>
      </w:r>
    </w:p>
    <w:p>
      <w:pPr>
        <w:ind w:firstLine="480"/>
      </w:pPr>
      <w:r>
        <w:rPr/>
        <w:t>邮编：</w:t>
      </w:r>
      <w:r>
        <w:rPr/>
        <w:t>512023</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政府采购监督管理机构名称：乳源瑶族自治县财政局政府采购监督管理股</w:t>
      </w:r>
    </w:p>
    <w:p>
      <w:r>
        <w:rPr/>
        <w:t>地  址：乳源县乳城镇沿江东路一号</w:t>
      </w:r>
    </w:p>
    <w:p>
      <w:r>
        <w:rPr/>
        <w:t>电  话：0751-5363676</w:t>
      </w:r>
    </w:p>
    <w:p>
      <w:r>
        <w:rPr/>
        <w:t>邮  编：512700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乳源瑶族自治县中等职业技术学校“扩容、提质、强服务”项目智慧校园管理系统及智慧黑板采购)：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韶关市优采招标代理有限公司</w:t>
      </w:r>
      <w:r>
        <w:rPr/>
        <w:t>统一对外发布。</w:t>
      </w:r>
    </w:p>
    <w:p>
      <w:pPr>
        <w:ind w:firstLine="480"/>
      </w:pPr>
      <w:r>
        <w:rPr/>
        <w:t>（2）对</w:t>
      </w:r>
      <w:r>
        <w:rPr/>
        <w:t>韶关市优采招标代理有限公司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采购包1（乳源瑶族自治县中等职业技术学校“扩容、提质、强服务”项目智慧校园管理系统及智慧黑板采购）：</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采购包1（乳源瑶族自治县中等职业技术学校“扩容、提质、强服务”项目智慧校园管理系统及智慧黑板采购）：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投标人必须是具有独立承担民事责任能力的在中华人民共和国境内注册的法人或其他组织或自然人，投标时提交有效的营业执照（或事业法人登记证或身份证等相关证明）副本复印件。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投标截止日前12个月内任意一个月依法缴纳税收&lt;营业税或增值税等完税证明&gt;和社会保障资金&lt;社保缴费证明&gt;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投标人必须具有良好的商业信誉和健全的财务会计制度（提供投标截止日前12个月内任意一个月的财务报表&lt;资产负债表和利润表或损益表&gt;或银行出具的资信证明）。</w:t>
            </w:r>
          </w:p>
        </w:tc>
      </w:tr>
      <w:tr>
        <w:tc>
          <w:tcPr>
            <w:tcW w:type="dxa" w:w="890"/>
          </w:tcPr>
          <w:p>
            <w:r>
              <w:rPr/>
              <w:t>4</w:t>
            </w:r>
          </w:p>
        </w:tc>
        <w:tc>
          <w:tcPr>
            <w:tcW w:type="dxa" w:w="3178"/>
          </w:tcPr>
          <w:p>
            <w:r>
              <w:rPr/>
              <w:t>履行合同所必需的设备和专业技术能力</w:t>
            </w:r>
          </w:p>
        </w:tc>
        <w:tc>
          <w:tcPr>
            <w:tcW w:type="dxa" w:w="4238"/>
          </w:tcPr>
          <w:p>
            <w:r>
              <w:rPr/>
              <w:t>具备履行合同所必需的设备和专业技术能力。按投标（响应）文件格式填报设备及专业技术能力情况。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投标人必须符合法律、行政法规规定的其他条件（可参照投标函相关承诺格式内容）。</w:t>
            </w:r>
          </w:p>
        </w:tc>
        <w:tc>
          <w:tcPr>
            <w:tcW w:type="dxa" w:w="4238"/>
          </w:tcPr>
          <w:p>
            <w:r>
              <w:rPr/>
              <w:t>投标人必须符合法律、行政法规规定的其他条件（可参照投标函相关承诺格式内容）。</w:t>
            </w:r>
          </w:p>
        </w:tc>
      </w:tr>
      <w:tr>
        <w:tc>
          <w:tcPr>
            <w:tcW w:type="dxa" w:w="890"/>
          </w:tcPr>
          <w:p>
            <w:r>
              <w:rPr/>
              <w:t>7</w:t>
            </w:r>
          </w:p>
        </w:tc>
        <w:tc>
          <w:tcPr>
            <w:tcW w:type="dxa" w:w="3178"/>
          </w:tcPr>
          <w:p>
            <w:r>
              <w:rPr/>
              <w:t>单位负责人为同一人或者存在直接控股、管理关系的不同投标人，不得同时参加本采购项目（包组）投标。（提供承诺函，可参照投标函相关承诺格式内容）。</w:t>
            </w:r>
          </w:p>
        </w:tc>
        <w:tc>
          <w:tcPr>
            <w:tcW w:type="dxa" w:w="4238"/>
          </w:tcPr>
          <w:p>
            <w:r>
              <w:rPr/>
              <w:t>单位负责人为同一人或者存在直接控股、管理关系的不同投标人，不得同时参加本采购项目（包组）投标。（提供承诺函，可参照投标函相关承诺格式内容）。</w:t>
            </w:r>
          </w:p>
        </w:tc>
      </w:tr>
      <w:tr>
        <w:tc>
          <w:tcPr>
            <w:tcW w:type="dxa" w:w="890"/>
          </w:tcPr>
          <w:p>
            <w:r>
              <w:rPr/>
              <w:t>8</w:t>
            </w:r>
          </w:p>
        </w:tc>
        <w:tc>
          <w:tcPr>
            <w:tcW w:type="dxa" w:w="3178"/>
          </w:tcPr>
          <w:p>
            <w:r>
              <w:rPr/>
              <w:t>为采购项目提供整体设计、规范编制或者项目管理、监理、检测等服务的投标人，不得再参加该采购项目的其他采购活动（提供承诺函，可参照投标函相关承诺格式内容）。</w:t>
            </w:r>
          </w:p>
        </w:tc>
        <w:tc>
          <w:tcPr>
            <w:tcW w:type="dxa" w:w="4238"/>
          </w:tcPr>
          <w:p>
            <w:r>
              <w:rPr/>
              <w:t>为采购项目提供整体设计、规范编制或者项目管理、监理、检测等服务的投标人，不得再参加该采购项目的其他采购活动（提供承诺函，可参照投标函相关承诺格式内容）。</w:t>
            </w:r>
          </w:p>
        </w:tc>
      </w:tr>
      <w:tr>
        <w:tc>
          <w:tcPr>
            <w:tcW w:type="dxa" w:w="890"/>
          </w:tcPr>
          <w:p>
            <w:r>
              <w:rPr/>
              <w:t>9</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10</w:t>
            </w:r>
          </w:p>
        </w:tc>
        <w:tc>
          <w:tcPr>
            <w:tcW w:type="dxa" w:w="3178"/>
          </w:tcPr>
          <w:p>
            <w:r>
              <w:rPr/>
              <w:t>已登记报名并获取本项目招标文件。</w:t>
            </w:r>
          </w:p>
        </w:tc>
        <w:tc>
          <w:tcPr>
            <w:tcW w:type="dxa" w:w="4238"/>
          </w:tcPr>
          <w:p>
            <w:r>
              <w:rPr/>
              <w:t>已登记报名并获取本项目招标文件。</w:t>
            </w:r>
          </w:p>
        </w:tc>
      </w:tr>
      <w:tr>
        <w:tc>
          <w:tcPr>
            <w:tcW w:type="dxa" w:w="890"/>
          </w:tcPr>
          <w:p>
            <w:r>
              <w:rPr/>
              <w:t>11</w:t>
            </w:r>
          </w:p>
        </w:tc>
        <w:tc>
          <w:tcPr>
            <w:tcW w:type="dxa" w:w="3178"/>
          </w:tcPr>
          <w:p>
            <w:r>
              <w:rPr/>
              <w:t>本项目不接受联合体投标。</w:t>
            </w:r>
          </w:p>
        </w:tc>
        <w:tc>
          <w:tcPr>
            <w:tcW w:type="dxa" w:w="4238"/>
          </w:tcPr>
          <w:p>
            <w:r>
              <w:rPr/>
              <w:t>本项目不接受联合体投标。</w:t>
            </w:r>
          </w:p>
        </w:tc>
      </w:tr>
      <w:tr>
        <w:tc>
          <w:tcPr>
            <w:tcW w:type="dxa" w:w="890"/>
          </w:tcPr>
          <w:p>
            <w:r>
              <w:rPr/>
              <w:t>12</w:t>
            </w:r>
          </w:p>
        </w:tc>
        <w:tc>
          <w:tcPr>
            <w:tcW w:type="dxa" w:w="3178"/>
          </w:tcPr>
          <w:p>
            <w:r>
              <w:rPr/>
              <w:t>落实政府采购政策需满足的资格要求</w:t>
            </w:r>
          </w:p>
        </w:tc>
        <w:tc>
          <w:tcPr>
            <w:tcW w:type="dxa" w:w="4238"/>
          </w:tcPr>
          <w:p>
            <w:r>
              <w:rPr/>
              <w:t>《政府采购促进中小企业发展管理办法》 《财政部 司法部关于政府采购支持监狱企业发展有关问题的通知》 《三部门联合发布关于促进残疾人就业政府采购政策的通知》 《政府采购进口产品管理办法》 《财政部 发展改革委 生态环境部 市场监管总局关于调整优化节能产品环境标志产品政府采购执行机制的通知》 《关于印发环境标志产品政府采购品目清单的通知》 《关于印发节能产品政府采购品目清单的通知》</w:t>
            </w:r>
          </w:p>
        </w:tc>
      </w:tr>
    </w:tbl>
    <w:p/>
    <w:p>
      <w:pPr>
        <w:ind w:firstLine="480"/>
      </w:pPr>
      <w:r>
        <w:rPr/>
        <w:t>表二符合性审查表：</w:t>
      </w:r>
    </w:p>
    <w:p>
      <w:pPr>
        <w:ind w:firstLine="480"/>
      </w:pPr>
    </w:p>
    <w:p/>
    <w:p>
      <w:r>
        <w:rPr/>
        <w:t>采购包1（乳源瑶族自治县中等职业技术学校“扩容、提质、强服务”项目智慧校园管理系统及智慧黑板采购）：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1.投标（报价）总金额是固定价且是唯一的，未超过本项目采购预算。如招标文件设置了最高限价的，投标（报价）总金额不得超过最高限价。</w:t>
            </w:r>
          </w:p>
        </w:tc>
        <w:tc>
          <w:tcPr>
            <w:tcW w:type="dxa" w:w="4238"/>
          </w:tcPr>
          <w:p>
            <w:r>
              <w:rPr/>
              <w:t>1.投标（报价）总金额是固定价且是唯一的，未超过本项目采购预算。如招标文件设置了最高限价的，投标（报价）总金额不得超过最高限价。</w:t>
            </w:r>
          </w:p>
        </w:tc>
      </w:tr>
      <w:tr>
        <w:tc>
          <w:tcPr>
            <w:tcW w:type="dxa" w:w="890"/>
          </w:tcPr>
          <w:p>
            <w:r>
              <w:rPr/>
              <w:t>2</w:t>
            </w:r>
          </w:p>
        </w:tc>
        <w:tc>
          <w:tcPr>
            <w:tcW w:type="dxa" w:w="3178"/>
          </w:tcPr>
          <w:p>
            <w:r>
              <w:rPr/>
              <w:t>2.对标的货物、服务没有报价漏项。</w:t>
            </w:r>
          </w:p>
        </w:tc>
        <w:tc>
          <w:tcPr>
            <w:tcW w:type="dxa" w:w="4238"/>
          </w:tcPr>
          <w:p>
            <w:r>
              <w:rPr/>
              <w:t>2.对标的货物、服务没有报价漏项。</w:t>
            </w:r>
          </w:p>
        </w:tc>
      </w:tr>
      <w:tr>
        <w:tc>
          <w:tcPr>
            <w:tcW w:type="dxa" w:w="890"/>
          </w:tcPr>
          <w:p>
            <w:r>
              <w:rPr/>
              <w:t>3</w:t>
            </w:r>
          </w:p>
        </w:tc>
        <w:tc>
          <w:tcPr>
            <w:tcW w:type="dxa" w:w="3178"/>
          </w:tcPr>
          <w:p>
            <w:r>
              <w:rPr/>
              <w:t>3.本项目未设置投标保证金。</w:t>
            </w:r>
          </w:p>
        </w:tc>
        <w:tc>
          <w:tcPr>
            <w:tcW w:type="dxa" w:w="4238"/>
          </w:tcPr>
          <w:p>
            <w:r>
              <w:rPr/>
              <w:t>3.本项目未设置投标保证金。</w:t>
            </w:r>
          </w:p>
        </w:tc>
      </w:tr>
      <w:tr>
        <w:tc>
          <w:tcPr>
            <w:tcW w:type="dxa" w:w="890"/>
          </w:tcPr>
          <w:p>
            <w:r>
              <w:rPr/>
              <w:t>4</w:t>
            </w:r>
          </w:p>
        </w:tc>
        <w:tc>
          <w:tcPr>
            <w:tcW w:type="dxa" w:w="3178"/>
          </w:tcPr>
          <w:p>
            <w:r>
              <w:rPr/>
              <w:t>4.本项目不接受进口产品参与投标。</w:t>
            </w:r>
          </w:p>
        </w:tc>
        <w:tc>
          <w:tcPr>
            <w:tcW w:type="dxa" w:w="4238"/>
          </w:tcPr>
          <w:p>
            <w:r>
              <w:rPr/>
              <w:t>4.本项目不接受进口产品参与投标。</w:t>
            </w:r>
          </w:p>
        </w:tc>
      </w:tr>
      <w:tr>
        <w:tc>
          <w:tcPr>
            <w:tcW w:type="dxa" w:w="890"/>
          </w:tcPr>
          <w:p>
            <w:r>
              <w:rPr/>
              <w:t>5</w:t>
            </w:r>
          </w:p>
        </w:tc>
        <w:tc>
          <w:tcPr>
            <w:tcW w:type="dxa" w:w="3178"/>
          </w:tcPr>
          <w:p>
            <w:r>
              <w:rPr/>
              <w:t>5.提交投标函。投标文件完整且编排有序，投标内容基本完整，无重大错漏，并按要求签署、盖章。</w:t>
            </w:r>
          </w:p>
        </w:tc>
        <w:tc>
          <w:tcPr>
            <w:tcW w:type="dxa" w:w="4238"/>
          </w:tcPr>
          <w:p>
            <w:r>
              <w:rPr/>
              <w:t>5.提交投标函。投标文件完整且编排有序，投标内容基本完整，无重大错漏，并按要求签署、盖章。</w:t>
            </w:r>
          </w:p>
        </w:tc>
      </w:tr>
      <w:tr>
        <w:tc>
          <w:tcPr>
            <w:tcW w:type="dxa" w:w="890"/>
          </w:tcPr>
          <w:p>
            <w:r>
              <w:rPr/>
              <w:t>6</w:t>
            </w:r>
          </w:p>
        </w:tc>
        <w:tc>
          <w:tcPr>
            <w:tcW w:type="dxa" w:w="3178"/>
          </w:tcPr>
          <w:p>
            <w:r>
              <w:rPr/>
              <w:t>6.法定代表人/负责人资格证书及授权委托书，按对应格式文件签署、盖章（原件）。需提供法定代表人/负责人及授权人身份证正反面复印件。</w:t>
            </w:r>
          </w:p>
        </w:tc>
        <w:tc>
          <w:tcPr>
            <w:tcW w:type="dxa" w:w="4238"/>
          </w:tcPr>
          <w:p>
            <w:r>
              <w:rPr/>
              <w:t>6.法定代表人/负责人资格证书及授权委托书，按对应格式文件签署、盖章（原件）。需提供法定代表人/负责人及授权人身份证正反面复印件。</w:t>
            </w:r>
          </w:p>
        </w:tc>
      </w:tr>
      <w:tr>
        <w:tc>
          <w:tcPr>
            <w:tcW w:type="dxa" w:w="890"/>
          </w:tcPr>
          <w:p>
            <w:r>
              <w:rPr/>
              <w:t>7</w:t>
            </w:r>
          </w:p>
        </w:tc>
        <w:tc>
          <w:tcPr>
            <w:tcW w:type="dxa" w:w="3178"/>
          </w:tcPr>
          <w:p>
            <w:r>
              <w:rPr/>
              <w:t>7.实质性响应“★”号条款满足招标文件要求。</w:t>
            </w:r>
          </w:p>
        </w:tc>
        <w:tc>
          <w:tcPr>
            <w:tcW w:type="dxa" w:w="4238"/>
          </w:tcPr>
          <w:p>
            <w:r>
              <w:rPr/>
              <w:t>7.实质性响应“★”号条款满足招标文件要求。</w:t>
            </w:r>
          </w:p>
        </w:tc>
      </w:tr>
      <w:tr>
        <w:tc>
          <w:tcPr>
            <w:tcW w:type="dxa" w:w="890"/>
          </w:tcPr>
          <w:p>
            <w:r>
              <w:rPr/>
              <w:t>8</w:t>
            </w:r>
          </w:p>
        </w:tc>
        <w:tc>
          <w:tcPr>
            <w:tcW w:type="dxa" w:w="3178"/>
          </w:tcPr>
          <w:p>
            <w:r>
              <w:rPr/>
              <w:t>8.投标文件有效期为投标截止日起至少90天。</w:t>
            </w:r>
          </w:p>
        </w:tc>
        <w:tc>
          <w:tcPr>
            <w:tcW w:type="dxa" w:w="4238"/>
          </w:tcPr>
          <w:p>
            <w:r>
              <w:rPr/>
              <w:t>8.投标文件有效期为投标截止日起至少90天。</w:t>
            </w:r>
          </w:p>
        </w:tc>
      </w:tr>
      <w:tr>
        <w:tc>
          <w:tcPr>
            <w:tcW w:type="dxa" w:w="890"/>
          </w:tcPr>
          <w:p>
            <w:r>
              <w:rPr/>
              <w:t>9</w:t>
            </w:r>
          </w:p>
        </w:tc>
        <w:tc>
          <w:tcPr>
            <w:tcW w:type="dxa" w:w="3178"/>
          </w:tcPr>
          <w:p>
            <w:r>
              <w:rPr/>
              <w:t>9.如出现投标报价错误的处理原则修正后的报价，投标人按规定书面确认。</w:t>
            </w:r>
          </w:p>
        </w:tc>
        <w:tc>
          <w:tcPr>
            <w:tcW w:type="dxa" w:w="4238"/>
          </w:tcPr>
          <w:p>
            <w:r>
              <w:rPr/>
              <w:t>9.如出现投标报价错误的处理原则修正后的报价，投标人按规定书面确认。</w:t>
            </w:r>
          </w:p>
        </w:tc>
      </w:tr>
      <w:tr>
        <w:tc>
          <w:tcPr>
            <w:tcW w:type="dxa" w:w="890"/>
          </w:tcPr>
          <w:p>
            <w:r>
              <w:rPr/>
              <w:t>10</w:t>
            </w:r>
          </w:p>
        </w:tc>
        <w:tc>
          <w:tcPr>
            <w:tcW w:type="dxa" w:w="3178"/>
          </w:tcPr>
          <w:p>
            <w:r>
              <w:rPr/>
              <w:t>10.投标文件没有招标文件中规定的其它无效投标条款的。</w:t>
            </w:r>
          </w:p>
        </w:tc>
        <w:tc>
          <w:tcPr>
            <w:tcW w:type="dxa" w:w="4238"/>
          </w:tcPr>
          <w:p>
            <w:r>
              <w:rPr/>
              <w:t>10.投标文件没有招标文件中规定的其它无效投标条款的。</w:t>
            </w:r>
          </w:p>
        </w:tc>
      </w:tr>
      <w:tr>
        <w:tc>
          <w:tcPr>
            <w:tcW w:type="dxa" w:w="890"/>
          </w:tcPr>
          <w:p>
            <w:r>
              <w:rPr/>
              <w:t>11</w:t>
            </w:r>
          </w:p>
        </w:tc>
        <w:tc>
          <w:tcPr>
            <w:tcW w:type="dxa" w:w="3178"/>
          </w:tcPr>
          <w:p>
            <w:r>
              <w:rPr/>
              <w:t>11.投标文件未含有采购人不可接受的附加条件。</w:t>
            </w:r>
          </w:p>
        </w:tc>
        <w:tc>
          <w:tcPr>
            <w:tcW w:type="dxa" w:w="4238"/>
          </w:tcPr>
          <w:p>
            <w:r>
              <w:rPr/>
              <w:t>11.投标文件未含有采购人不可接受的附加条件。</w:t>
            </w:r>
          </w:p>
        </w:tc>
      </w:tr>
      <w:tr>
        <w:tc>
          <w:tcPr>
            <w:tcW w:type="dxa" w:w="890"/>
          </w:tcPr>
          <w:p>
            <w:r>
              <w:rPr/>
              <w:t>12</w:t>
            </w:r>
          </w:p>
        </w:tc>
        <w:tc>
          <w:tcPr>
            <w:tcW w:type="dxa" w:w="3178"/>
          </w:tcPr>
          <w:p>
            <w:r>
              <w:rPr/>
              <w:t>12.按有关法律、法规、规章不属于投标无效的。</w:t>
            </w:r>
          </w:p>
        </w:tc>
        <w:tc>
          <w:tcPr>
            <w:tcW w:type="dxa" w:w="4238"/>
          </w:tcPr>
          <w:p>
            <w:r>
              <w:rPr/>
              <w:t>12.按有关法律、法规、规章不属于投标无效的。</w:t>
            </w:r>
          </w:p>
        </w:tc>
      </w:tr>
      <w:tr>
        <w:tc>
          <w:tcPr>
            <w:tcW w:type="dxa" w:w="890"/>
          </w:tcPr>
          <w:p>
            <w:r>
              <w:rPr/>
              <w:t>13</w:t>
            </w:r>
          </w:p>
        </w:tc>
        <w:tc>
          <w:tcPr>
            <w:tcW w:type="dxa" w:w="3178"/>
          </w:tcPr>
          <w:p>
            <w:r>
              <w:rPr/>
              <w:t>13.如果评标委员会认为投标人的报价明显低于其他通过符合性审查投标人的报价，有可能影响项目货物、服务质量或者不能诚信履约的，将要求其在评标现场合理的时间内提供书面说明，必要时提交相关证明材料；投标人应能证明其报价合理性。</w:t>
            </w:r>
          </w:p>
        </w:tc>
        <w:tc>
          <w:tcPr>
            <w:tcW w:type="dxa" w:w="4238"/>
          </w:tcPr>
          <w:p>
            <w:r>
              <w:rPr/>
              <w:t>13.如果评标委员会认为投标人的报价明显低于其他通过符合性审查投标人的报价，有可能影响项目货物、服务质量或者不能诚信履约的，将要求其在评标现场合理的时间内提供书面说明，必要时提交相关证明材料；投标人应能证明其报价合理性。</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采购包1乳源瑶族自治县中等职业技术学校“扩容、提质、强服务”项目智慧校园管理系统及智慧黑板采购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商务部分8.0分</w:t>
            </w:r>
          </w:p>
          <w:p>
            <w:r>
              <w:rPr/>
              <w:t>技术部分62.0分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(42.0分)</w:t>
            </w:r>
          </w:p>
        </w:tc>
        <w:tc>
          <w:tcPr>
            <w:tcW w:type="dxa" w:w="5076"/>
          </w:tcPr>
          <w:p>
            <w:pPr>
              <w:jc w:val="left"/>
            </w:pPr>
            <w:r>
              <w:rPr/>
              <w:t>根据投标人对所投设备的技术参数响应程度进行综合评分：标注“▲”符号的条款参数不能响应或负偏离的每一项扣3分；其他一般条款不满足或负偏离的每一项扣1分。扣完25分为止。（招标文件中要求的证明材料需在投标时提供，否则按负偏离处理。）</w:t>
            </w:r>
          </w:p>
        </w:tc>
      </w:tr>
      <w:tr>
        <w:tc>
          <w:tcPr>
            <w:tcW w:type="dxa" w:w="922"/>
            <w:gridSpan w:val="2"/>
            <w:vMerge/>
          </w:tcPr>
          <w:p/>
        </w:tc>
        <w:tc>
          <w:tcPr>
            <w:tcW w:type="dxa" w:w="2307"/>
          </w:tcPr>
          <w:p>
            <w:pPr>
              <w:jc w:val="left"/>
            </w:pPr>
            <w:r>
              <w:rPr/>
              <w:t>智慧校园软件演示部分：审批功能演示 (4.0分)</w:t>
            </w:r>
            <w:r>
              <w:rPr/>
              <w:t>，（等次分值选择：</w:t>
            </w:r>
            <w:r>
              <w:rPr/>
              <w:t>0.0;</w:t>
            </w:r>
            <w:r>
              <w:rPr/>
              <w:t>4.0;</w:t>
            </w:r>
            <w:r>
              <w:rPr/>
              <w:t>）</w:t>
            </w:r>
          </w:p>
        </w:tc>
        <w:tc>
          <w:tcPr>
            <w:tcW w:type="dxa" w:w="5076"/>
          </w:tcPr>
          <w:p>
            <w:pPr>
              <w:jc w:val="left"/>
            </w:pPr>
            <w:r>
              <w:rPr/>
              <w:t>1．演示设计自定义审批表单的字段（包括但不限于以下类型：部门字段、文本输入字段、单选框字段、多选框字段、校车选择字段、附件、嵌套表格）；  2．演示设计审批自定义流转的步骤，可根据字段内容分条件流转不同步骤，金额小于10000元无需校长签字审批，金额大于10000元需要校长签字审批； 3．用户进行表单数据填写，并发起审批； 4．根据审批流程，审批人员逐一完成手机在线手写签字审批，检查步骤是否符合流程设置。 【（1） 演示方式：投标人提供演示视频，演示视频放入U盘并在开标前通过快递方式邮寄至韶关市优采招标代理有限公司。（2） 演示视频格式要求：视频须采用MP4格式封装，每个文件大小不超过200M。每段视频文件以演示内容命名。视频录制软件不限，采用H.264/AVC（MPEG-4 Part10）编码格式压缩；分辨率设定为1920×1080（高清16:9）或1280×720（高清16:9）。（3） 演示要求：视频开头须以文字或语言方式体现投标人名称，每个演示项要求能够完全满足，有任何一条不满足则相应演示项不得分。】</w:t>
            </w:r>
          </w:p>
        </w:tc>
      </w:tr>
      <w:tr>
        <w:tc>
          <w:tcPr>
            <w:tcW w:type="dxa" w:w="922"/>
            <w:gridSpan w:val="2"/>
            <w:vMerge/>
          </w:tcPr>
          <w:p/>
        </w:tc>
        <w:tc>
          <w:tcPr>
            <w:tcW w:type="dxa" w:w="2307"/>
          </w:tcPr>
          <w:p>
            <w:pPr>
              <w:jc w:val="left"/>
            </w:pPr>
            <w:r>
              <w:rPr/>
              <w:t>智慧校园软件演示部分：社团管理演示 (3.0分)</w:t>
            </w:r>
            <w:r>
              <w:rPr/>
              <w:t>，（等次分值选择：</w:t>
            </w:r>
            <w:r>
              <w:rPr/>
              <w:t>0.0;</w:t>
            </w:r>
            <w:r>
              <w:rPr/>
              <w:t>3.0;</w:t>
            </w:r>
            <w:r>
              <w:rPr/>
              <w:t>）</w:t>
            </w:r>
          </w:p>
        </w:tc>
        <w:tc>
          <w:tcPr>
            <w:tcW w:type="dxa" w:w="5076"/>
          </w:tcPr>
          <w:p>
            <w:pPr>
              <w:jc w:val="left"/>
            </w:pPr>
            <w:r>
              <w:rPr/>
              <w:t>1.演示管理、发布学校社团，设置社团教师和学生社长； 2.演示学生用户申请加入某一社团； 3.演示审核通过学生用户的申请； 【（1） 演示方式：投标人提供演示视频，演示视频放入U盘并在开标前通过快递方式邮寄至韶关市优采招标代理有限公司。（2） 演示视频格式要求：视频须采用MP4格式封装，每个文件大小不超过200M。每段视频文件以演示内容命名。视频录制软件不限，采用H.264/AVC（MPEG-4 Part10）编码格式压缩；分辨率设定为1920×1080（高清16:9）或1280×720（高清16:9）。（3） 演示要求：视频开头须以文字或语言方式体现投标人名称，每个演示项要求能够完全满足，有任何一条不满足则相应演示项不得分。】</w:t>
            </w:r>
          </w:p>
        </w:tc>
      </w:tr>
      <w:tr>
        <w:tc>
          <w:tcPr>
            <w:tcW w:type="dxa" w:w="922"/>
            <w:gridSpan w:val="2"/>
            <w:vMerge/>
          </w:tcPr>
          <w:p/>
        </w:tc>
        <w:tc>
          <w:tcPr>
            <w:tcW w:type="dxa" w:w="2307"/>
          </w:tcPr>
          <w:p>
            <w:pPr>
              <w:jc w:val="left"/>
            </w:pPr>
            <w:r>
              <w:rPr/>
              <w:t>智慧校园软件演示部分：竞赛训练管理 (4.0分)</w:t>
            </w:r>
            <w:r>
              <w:rPr/>
              <w:t>，（等次分值选择：</w:t>
            </w:r>
            <w:r>
              <w:rPr/>
              <w:t>0.0;</w:t>
            </w:r>
            <w:r>
              <w:rPr/>
              <w:t>4.0;</w:t>
            </w:r>
            <w:r>
              <w:rPr/>
              <w:t>）</w:t>
            </w:r>
          </w:p>
        </w:tc>
        <w:tc>
          <w:tcPr>
            <w:tcW w:type="dxa" w:w="5076"/>
          </w:tcPr>
          <w:p>
            <w:pPr>
              <w:jc w:val="left"/>
            </w:pPr>
            <w:r>
              <w:rPr/>
              <w:t>1.演示添加学校竞赛训练队、设置训练队教练教师； 2.演示添加竞赛训练学生成员； 3.演示教练管理自己训练队内学生的成绩； 4.演示添加竞赛训练队比赛荣誉； 【（1） 演示方式：投标人提供演示视频，演示视频放入U盘并在开标前通过快递方式邮寄至韶关市优采招标代理有限公司。（2） 演示视频格式要求：视频须采用MP4格式封装，每个文件大小不超过200M。每段视频文件以演示内容命名。视频录制软件不限，采用H.264/AVC（MPEG-4 Part10）编码格式压缩；分辨率设定为1920×1080（高清16:9）或1280×720（高清16:9）。（3） 演示要求：视频开头须以文字或语言方式体现投标人名称，每个演示项要求能够完全满足，有任何一条不满足则相应演示项不得分。】</w:t>
            </w:r>
          </w:p>
        </w:tc>
      </w:tr>
      <w:tr>
        <w:tc>
          <w:tcPr>
            <w:tcW w:type="dxa" w:w="922"/>
            <w:gridSpan w:val="2"/>
            <w:vMerge/>
          </w:tcPr>
          <w:p/>
        </w:tc>
        <w:tc>
          <w:tcPr>
            <w:tcW w:type="dxa" w:w="2307"/>
          </w:tcPr>
          <w:p>
            <w:pPr>
              <w:jc w:val="left"/>
            </w:pPr>
            <w:r>
              <w:rPr/>
              <w:t>智慧校园软件演示部分：公开课在线签名功能演示 (4.0分)</w:t>
            </w:r>
            <w:r>
              <w:rPr/>
              <w:t>，（等次分值选择：</w:t>
            </w:r>
            <w:r>
              <w:rPr/>
              <w:t>0.0;</w:t>
            </w:r>
            <w:r>
              <w:rPr/>
              <w:t>4.0;</w:t>
            </w:r>
            <w:r>
              <w:rPr/>
              <w:t>）</w:t>
            </w:r>
          </w:p>
        </w:tc>
        <w:tc>
          <w:tcPr>
            <w:tcW w:type="dxa" w:w="5076"/>
          </w:tcPr>
          <w:p>
            <w:pPr>
              <w:jc w:val="left"/>
            </w:pPr>
            <w:r>
              <w:rPr/>
              <w:t>1.根据排课课程发布公开课信息； 2.生成公开课签名二维码； 3.其他教师用户通过手机扫码在线手写签名，签名后可生成听课统计数据； 4.检查公开课听课签名汇总数据。 【（1） 演示方式：投标人提供演示视频，演示视频放入U盘并在开标前通过快递方式邮寄至韶关市优采招标代理有限公司。（2） 演示视频格式要求：视频须采用MP4格式封装，每个文件大小不超过200M。每段视频文件以演示内容命名。视频录制软件不限，采用H.264/AVC（MPEG-4 Part10）编码格式压缩；分辨率设定为1920×1080（高清16:9）或1280×720（高清16:9）。（3） 演示要求：视频开头须以文字或语言方式体现投标人名称，每个演示项要求能够完全满足，有任何一条不满足则相应演示项不得分。】</w:t>
            </w:r>
          </w:p>
        </w:tc>
      </w:tr>
      <w:tr>
        <w:tc>
          <w:tcPr>
            <w:tcW w:type="dxa" w:w="922"/>
            <w:gridSpan w:val="2"/>
            <w:vMerge/>
          </w:tcPr>
          <w:p/>
        </w:tc>
        <w:tc>
          <w:tcPr>
            <w:tcW w:type="dxa" w:w="2307"/>
          </w:tcPr>
          <w:p>
            <w:pPr>
              <w:jc w:val="left"/>
            </w:pPr>
            <w:r>
              <w:rPr/>
              <w:t>智慧校园软件演示部分：文明班管理功能演示 (5.0分)</w:t>
            </w:r>
            <w:r>
              <w:rPr/>
              <w:t>，（等次分值选择：</w:t>
            </w:r>
            <w:r>
              <w:rPr/>
              <w:t>0.0;</w:t>
            </w:r>
            <w:r>
              <w:rPr/>
              <w:t>5.0;</w:t>
            </w:r>
            <w:r>
              <w:rPr/>
              <w:t>）</w:t>
            </w:r>
          </w:p>
        </w:tc>
        <w:tc>
          <w:tcPr>
            <w:tcW w:type="dxa" w:w="5076"/>
          </w:tcPr>
          <w:p>
            <w:pPr>
              <w:jc w:val="left"/>
            </w:pPr>
            <w:r>
              <w:rPr/>
              <w:t>1.演示文明班总评数据，可按月或按周为周期进行统计，展示各个班级的评比数据； 2.演示文明班评比项目，演示添加自定义评比项目“班级学风”、“清洁卫生”； 3.演示对所有班级进行“班级学风”、“清洁卫生”的评分； 4.演示对部分班级临时奖励评分操作； 5.检查评比的汇总统计数据及排名与上一步评分相符。 【（1） 演示方式：投标人提供演示视频，演示视频放入U盘并在开标前通过快递方式邮寄至韶关市优采招标代理有限公司。（2） 演示视频格式要求：视频须采用MP4格式封装，每个文件大小不超过200M。每段视频文件以演示内容命名。视频录制软件不限，采用H.264/AVC（MPEG-4 Part10）编码格式压缩；分辨率设定为1920×1080（高清16:9）或1280×720（高清16:9）。（3） 演示要求：视频开头须以文字或语言方式体现投标人名称，每个演示项要求能够完全满足，有任何一条不满足则相应演示项不得分。】</w:t>
            </w:r>
          </w:p>
        </w:tc>
      </w:tr>
      <w:tr>
        <w:tc>
          <w:tcPr>
            <w:tcW w:type="dxa" w:w="922"/>
            <w:gridSpan w:val="2"/>
            <w:vMerge w:val="restart"/>
          </w:tcPr>
          <w:p>
            <w:pPr>
              <w:jc w:val="center"/>
            </w:pPr>
            <w:r>
              <w:rPr/>
              <w:t>商务部分</w:t>
            </w:r>
          </w:p>
        </w:tc>
        <w:tc>
          <w:tcPr>
            <w:tcW w:type="dxa" w:w="2307"/>
          </w:tcPr>
          <w:p>
            <w:pPr>
              <w:jc w:val="left"/>
            </w:pPr>
            <w:r>
              <w:rPr/>
              <w:t>《主要商务要求》响应程度 (4.0分)</w:t>
            </w:r>
            <w:r>
              <w:rPr/>
              <w:t>，（等次分值选择：</w:t>
            </w:r>
            <w:r>
              <w:rPr/>
              <w:t>0.0;</w:t>
            </w:r>
            <w:r>
              <w:rPr/>
              <w:t>1.0;</w:t>
            </w:r>
            <w:r>
              <w:rPr/>
              <w:t>2.0;</w:t>
            </w:r>
            <w:r>
              <w:rPr/>
              <w:t>3.0;</w:t>
            </w:r>
            <w:r>
              <w:rPr/>
              <w:t>4.0;</w:t>
            </w:r>
            <w:r>
              <w:rPr/>
              <w:t>）</w:t>
            </w:r>
          </w:p>
        </w:tc>
        <w:tc>
          <w:tcPr>
            <w:tcW w:type="dxa" w:w="5076"/>
          </w:tcPr>
          <w:p>
            <w:pPr>
              <w:jc w:val="left"/>
            </w:pPr>
            <w:r>
              <w:rPr/>
              <w:t>根据投标人对商务条款的响应程度进行评价打分。全部响应或优于得4分，每不响应一条扣1分，扣完为止。</w:t>
            </w:r>
          </w:p>
        </w:tc>
      </w:tr>
      <w:tr>
        <w:tc>
          <w:tcPr>
            <w:tcW w:type="dxa" w:w="922"/>
            <w:gridSpan w:val="2"/>
            <w:vMerge/>
          </w:tcPr>
          <w:p/>
        </w:tc>
        <w:tc>
          <w:tcPr>
            <w:tcW w:type="dxa" w:w="2307"/>
          </w:tcPr>
          <w:p>
            <w:pPr>
              <w:jc w:val="left"/>
            </w:pPr>
            <w:r>
              <w:rPr/>
              <w:t>售后服务方案 (4.0分)</w:t>
            </w:r>
            <w:r>
              <w:rPr/>
              <w:t>，（等次分值选择：</w:t>
            </w:r>
            <w:r>
              <w:rPr/>
              <w:t>0.0;</w:t>
            </w:r>
            <w:r>
              <w:rPr/>
              <w:t>1.0;</w:t>
            </w:r>
            <w:r>
              <w:rPr/>
              <w:t>2.0;</w:t>
            </w:r>
            <w:r>
              <w:rPr/>
              <w:t>4.0;</w:t>
            </w:r>
            <w:r>
              <w:rPr/>
              <w:t>）</w:t>
            </w:r>
          </w:p>
        </w:tc>
        <w:tc>
          <w:tcPr>
            <w:tcW w:type="dxa" w:w="5076"/>
          </w:tcPr>
          <w:p>
            <w:pPr>
              <w:jc w:val="left"/>
            </w:pPr>
            <w:r>
              <w:rPr/>
              <w:t>根据投标人针对本项目的售后服务保障（包括但不限于服务团队、服务承诺及服务方案等）进行评分： 1.售后服务方案最可靠，服务效率最高，应急方案最合理可行的，得4分； 2.售后服务方案较为可靠，服务效率较高，应急方案较为合理的，得2分； 3.售后服务方案可靠性一般，服务效率一般，应急方案基本可行的，得1分； 4.未提供不得分。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r>
        <w:rPr>
          <w:b/>
          <w:sz w:val="27"/>
        </w:rPr>
        <w:t>六、</w:t>
      </w:r>
      <w:r>
        <w:rPr>
          <w:b/>
          <w:sz w:val="27"/>
        </w:rPr>
        <w:t>质保期及售后服务要求</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440232-2022-01171</w:t>
      </w:r>
    </w:p>
    <w:p>
      <w:pPr>
        <w:jc w:val="center"/>
      </w:pPr>
      <w:r>
        <w:rPr>
          <w:b/>
          <w:sz w:val="24"/>
        </w:rPr>
        <w:t>采购项目编号：</w:t>
      </w:r>
      <w:r>
        <w:rPr>
          <w:b/>
          <w:sz w:val="24"/>
        </w:rPr>
        <w:t>SGYC2022166GZ</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韶关市优采招标代理有限公司</w:t>
      </w:r>
    </w:p>
    <w:p>
      <w:pPr>
        <w:ind w:firstLine="480"/>
      </w:pPr>
      <w:r>
        <w:rPr/>
        <w:t>你方组织的</w:t>
      </w:r>
      <w:r>
        <w:rPr>
          <w:u w:val="single"/>
        </w:rPr>
        <w:t>乳源瑶族自治县中等职业技术学校“扩容、提质、强服务”项目智慧校园管理系统及智慧黑板采购</w:t>
      </w:r>
      <w:r>
        <w:rPr/>
        <w:t>项目的招标[采购项目编号为：</w:t>
      </w:r>
      <w:r>
        <w:rPr>
          <w:u w:val="single"/>
        </w:rPr>
        <w:t>SGYC2022166GZ</w:t>
      </w:r>
      <w:r>
        <w:rPr/>
        <w:t>]，我方愿参与投标。</w:t>
      </w:r>
    </w:p>
    <w:p>
      <w:pPr>
        <w:ind w:firstLine="480"/>
      </w:pPr>
      <w:r>
        <w:rPr/>
        <w:t>我方确认收到贵方提供的</w:t>
      </w:r>
      <w:r>
        <w:rPr>
          <w:u w:val="single"/>
        </w:rPr>
        <w:t>乳源瑶族自治县中等职业技术学校“扩容、提质、强服务”项目智慧校园管理系统及智慧黑板采购</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韶关市优采招标代理有限公司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乳源瑶族自治县中等职业技术学校“扩容、提质、强服务”项目智慧校园管理系统及智慧黑板采购</w:t>
      </w:r>
      <w:r>
        <w:rPr/>
        <w:t>项目采购[采购项目编号为</w:t>
      </w:r>
      <w:r>
        <w:rPr/>
        <w:t>SGYC2022166GZ</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乳源瑶族自治县中等职业技术学校</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韶关市优采招标代理有限公司</w:t>
      </w:r>
    </w:p>
    <w:p>
      <w:pPr>
        <w:ind w:firstLine="480"/>
      </w:pPr>
      <w:r>
        <w:rPr/>
        <w:t>如果我方在贵采购代理机构组织的</w:t>
      </w:r>
      <w:r>
        <w:rPr/>
        <w:t>乳源瑶族自治县中等职业技术学校“扩容、提质、强服务”项目智慧校园管理系统及智慧黑板采购</w:t>
      </w:r>
      <w:r>
        <w:rPr/>
        <w:t>招标中获中标（采购项目编号：</w:t>
      </w:r>
      <w:r>
        <w:rPr/>
        <w:t>SGYC2022166GZ</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韶关市优采招标代理有限公司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韶关市优采招标代理有限公司</w:t>
      </w:r>
    </w:p>
    <w:p>
      <w:pPr>
        <w:ind w:firstLine="480"/>
      </w:pPr>
      <w:r>
        <w:rPr/>
        <w:t>我单位已登记并准备参与</w:t>
      </w:r>
      <w:r>
        <w:rPr/>
        <w:t>乳源瑶族自治县中等职业技术学校“扩容、提质、强服务”项目智慧校园管理系统及智慧黑板采购</w:t>
      </w:r>
      <w:r>
        <w:rPr/>
        <w:t>项目（采购项目编号：</w:t>
      </w:r>
      <w:r>
        <w:rPr/>
        <w:t>SGYC2022166GZ</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